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left"/>
      </w:pPr>
      <w:r>
        <w:rPr>
          <w:rFonts w:ascii="Calibri" w:hAnsi="Calibri"/>
          <w:b/>
          <w:color w:val="E86B1E"/>
          <w:sz w:val="18"/>
        </w:rPr>
        <w:t>MERCHANT TERMS OF SERVICE</w:t>
      </w:r>
    </w:p>
    <w:p>
      <w:pPr>
        <w:spacing w:after="20"/>
      </w:pPr>
      <w:r>
        <w:rPr>
          <w:rFonts w:ascii="Calibri" w:hAnsi="Calibri"/>
          <w:b/>
          <w:color w:val="0F2A44"/>
          <w:sz w:val="64"/>
        </w:rPr>
        <w:t>SwyftBite</w:t>
      </w:r>
    </w:p>
    <w:p>
      <w:pPr>
        <w:spacing w:after="20"/>
      </w:pPr>
      <w:r>
        <w:rPr>
          <w:rFonts w:ascii="Calibri" w:hAnsi="Calibri"/>
          <w:color w:val="4A4A4A"/>
          <w:sz w:val="32"/>
        </w:rPr>
        <w:t>Merchant Terms of Service</w:t>
      </w:r>
    </w:p>
    <w:p>
      <w:pPr>
        <w:spacing w:after="200"/>
      </w:pPr>
      <w:r>
        <w:rPr>
          <w:rFonts w:ascii="Calibri" w:hAnsi="Calibri"/>
          <w:color w:val="4A4A4A"/>
          <w:sz w:val="20"/>
        </w:rPr>
        <w:t>Hyper-local food delivery  •  Collin County, Texas</w:t>
      </w:r>
    </w:p>
    <w:tbl>
      <w:tblPr>
        <w:tblStyle w:val="TableGrid"/>
        <w:tblW w:type="auto" w:w="0"/>
        <w:jc w:val="center"/>
        <w:tblLayout w:type="autofit"/>
        <w:tblLook w:firstColumn="1" w:firstRow="1" w:lastColumn="0" w:lastRow="0" w:noHBand="0" w:noVBand="1" w:val="04A0"/>
      </w:tblPr>
      <w:tblGrid>
        <w:gridCol w:w="4896"/>
        <w:gridCol w:w="4896"/>
      </w:tblGrid>
      <w:tr>
        <w:trPr>
          <w:tblHeader w:val="true"/>
        </w:trPr>
        <w:tc>
          <w:tcPr>
            <w:tcW w:type="dxa" w:w="4896"/>
            <w:shd w:fill="0F2A44"/>
          </w:tcPr>
          <w:p>
            <w:r/>
            <w:r>
              <w:rPr>
                <w:rFonts w:ascii="Calibri" w:hAnsi="Calibri"/>
                <w:b/>
                <w:color w:val="FFFFFF"/>
                <w:sz w:val="18"/>
              </w:rPr>
              <w:t>Document control</w:t>
            </w:r>
          </w:p>
        </w:tc>
        <w:tc>
          <w:tcPr>
            <w:tcW w:type="dxa" w:w="4896"/>
            <w:shd w:fill="0F2A44"/>
          </w:tcPr>
          <w:p>
            <w:r/>
            <w:r>
              <w:rPr>
                <w:rFonts w:ascii="Calibri" w:hAnsi="Calibri"/>
                <w:b/>
                <w:color w:val="FFFFFF"/>
                <w:sz w:val="18"/>
              </w:rPr>
            </w:r>
          </w:p>
        </w:tc>
      </w:tr>
      <w:tr>
        <w:tc>
          <w:tcPr>
            <w:tcW w:type="dxa" w:w="4896"/>
          </w:tcPr>
          <w:p>
            <w:r/>
            <w:r>
              <w:rPr>
                <w:rFonts w:ascii="Calibri" w:hAnsi="Calibri"/>
                <w:sz w:val="18"/>
              </w:rPr>
              <w:t>Version</w:t>
            </w:r>
          </w:p>
        </w:tc>
        <w:tc>
          <w:tcPr>
            <w:tcW w:type="dxa" w:w="4896"/>
          </w:tcPr>
          <w:p>
            <w:r/>
            <w:r>
              <w:rPr>
                <w:rFonts w:ascii="Calibri" w:hAnsi="Calibri"/>
                <w:sz w:val="18"/>
              </w:rPr>
              <w:t>v2026.1 — October 4, 2026. Supersedes all prior draft terms.</w:t>
            </w:r>
          </w:p>
        </w:tc>
      </w:tr>
      <w:tr>
        <w:tc>
          <w:tcPr>
            <w:tcW w:type="dxa" w:w="4896"/>
          </w:tcPr>
          <w:p>
            <w:r/>
            <w:r>
              <w:rPr>
                <w:rFonts w:ascii="Calibri" w:hAnsi="Calibri"/>
                <w:sz w:val="18"/>
              </w:rPr>
              <w:t>SwyftBite contact</w:t>
            </w:r>
          </w:p>
        </w:tc>
        <w:tc>
          <w:tcPr>
            <w:tcW w:type="dxa" w:w="4896"/>
          </w:tcPr>
          <w:p>
            <w:r/>
            <w:r>
              <w:rPr>
                <w:rFonts w:ascii="Calibri" w:hAnsi="Calibri"/>
                <w:sz w:val="18"/>
              </w:rPr>
              <w:t>Celia Bartram, Founder / Owner ․ 972-464-6300 ․ celia@swyftbite.com ․ swyftbite.com</w:t>
            </w:r>
          </w:p>
        </w:tc>
      </w:tr>
      <w:tr>
        <w:tc>
          <w:tcPr>
            <w:tcW w:type="dxa" w:w="4896"/>
          </w:tcPr>
          <w:p>
            <w:r/>
            <w:r>
              <w:rPr>
                <w:rFonts w:ascii="Calibri" w:hAnsi="Calibri"/>
                <w:sz w:val="18"/>
              </w:rPr>
              <w:t>SwyftBite party</w:t>
            </w:r>
          </w:p>
        </w:tc>
        <w:tc>
          <w:tcPr>
            <w:tcW w:type="dxa" w:w="4896"/>
          </w:tcPr>
          <w:p>
            <w:r/>
            <w:r>
              <w:rPr>
                <w:rFonts w:ascii="Calibri" w:hAnsi="Calibri"/>
                <w:sz w:val="18"/>
              </w:rPr>
              <w:t>SwyftBite, operated by Celia Bartram as a sole proprietorship pending formation of its limited liability company (see §14).</w:t>
            </w:r>
          </w:p>
        </w:tc>
      </w:tr>
      <w:tr>
        <w:tc>
          <w:tcPr>
            <w:tcW w:type="dxa" w:w="4896"/>
          </w:tcPr>
          <w:p>
            <w:r/>
            <w:r>
              <w:rPr>
                <w:rFonts w:ascii="Calibri" w:hAnsi="Calibri"/>
                <w:sz w:val="18"/>
              </w:rPr>
              <w:t>Service area</w:t>
            </w:r>
          </w:p>
        </w:tc>
        <w:tc>
          <w:tcPr>
            <w:tcW w:type="dxa" w:w="4896"/>
          </w:tcPr>
          <w:p>
            <w:r/>
            <w:r>
              <w:rPr>
                <w:rFonts w:ascii="Calibri" w:hAnsi="Calibri"/>
                <w:sz w:val="18"/>
              </w:rPr>
              <w:t>McKinney – Fairview – Allen – Frisco, Collin County, Texas (operating cells as noticed in the dashboard).</w:t>
            </w:r>
          </w:p>
        </w:tc>
      </w:tr>
      <w:tr>
        <w:tc>
          <w:tcPr>
            <w:tcW w:type="dxa" w:w="4896"/>
          </w:tcPr>
          <w:p>
            <w:r/>
            <w:r>
              <w:rPr>
                <w:rFonts w:ascii="Calibri" w:hAnsi="Calibri"/>
                <w:sz w:val="18"/>
              </w:rPr>
              <w:t>Status</w:t>
            </w:r>
          </w:p>
        </w:tc>
        <w:tc>
          <w:tcPr>
            <w:tcW w:type="dxa" w:w="4896"/>
          </w:tcPr>
          <w:p>
            <w:r/>
            <w:r>
              <w:rPr>
                <w:rFonts w:ascii="Calibri" w:hAnsi="Calibri"/>
                <w:sz w:val="18"/>
              </w:rPr>
              <w:t>Pre-launch; approximately 35 merchant partners signed. These Terms are the click-accept master terms incorporated into the signed Merchant Partner Agreement.</w:t>
            </w:r>
          </w:p>
        </w:tc>
      </w:tr>
      <w:tr>
        <w:tc>
          <w:tcPr>
            <w:tcW w:type="dxa" w:w="4896"/>
          </w:tcPr>
          <w:p>
            <w:r/>
            <w:r>
              <w:rPr>
                <w:rFonts w:ascii="Calibri" w:hAnsi="Calibri"/>
                <w:sz w:val="18"/>
              </w:rPr>
              <w:t>Companion documents</w:t>
            </w:r>
          </w:p>
        </w:tc>
        <w:tc>
          <w:tcPr>
            <w:tcW w:type="dxa" w:w="4896"/>
          </w:tcPr>
          <w:p>
            <w:r/>
            <w:r>
              <w:rPr>
                <w:rFonts w:ascii="Calibri" w:hAnsi="Calibri"/>
                <w:sz w:val="18"/>
              </w:rPr>
              <w:t>Merchant Partner Agreement (signed master); Merchant Onboarding Guide (BYOD edition); Merchant Data Protection Addendum (BYOD edition); Master Documentation &amp; Technical Blueprint v1.2.</w:t>
            </w:r>
          </w:p>
        </w:tc>
      </w:tr>
    </w:tbl>
    <w:p>
      <w:pPr>
        <w:spacing w:after="40"/>
      </w:pPr>
    </w:p>
    <w:p>
      <w:pPr>
        <w:spacing w:after="120"/>
      </w:pPr>
      <w:r>
        <w:rPr>
          <w:i w:val="0"/>
          <w:sz w:val="21"/>
        </w:rPr>
        <w:t xml:space="preserve">How to read this document. </w:t>
      </w:r>
    </w:p>
    <w:p>
      <w:pPr>
        <w:spacing w:after="120"/>
      </w:pPr>
      <w:r>
        <w:rPr>
          <w:i w:val="0"/>
          <w:sz w:val="21"/>
        </w:rPr>
        <w:t>These Terms are written in plain language to match the Merchant Partner Agreement. Headings are for reference only. Capitalized terms not defined here have the meanings given where they first appear. If any provision of these Terms conflicts with the body of a signed Merchant Partner Agreement, the signed Agreement controls (see §1.3).</w:t>
      </w:r>
    </w:p>
    <w:tbl>
      <w:tblPr>
        <w:tblStyle w:val="TableGrid"/>
        <w:tblW w:type="auto" w:w="0"/>
        <w:jc w:val="center"/>
        <w:tblLayout w:type="autofit"/>
        <w:tblLook w:firstColumn="1" w:firstRow="1" w:lastColumn="0" w:lastRow="0" w:noHBand="0" w:noVBand="1" w:val="04A0"/>
      </w:tblPr>
      <w:tblGrid>
        <w:gridCol w:w="3264"/>
        <w:gridCol w:w="3264"/>
        <w:gridCol w:w="3264"/>
      </w:tblGrid>
      <w:tr>
        <w:trPr>
          <w:tblHeader w:val="true"/>
        </w:trPr>
        <w:tc>
          <w:tcPr>
            <w:tcW w:type="dxa" w:w="3264"/>
            <w:shd w:fill="0F2A44"/>
          </w:tcPr>
          <w:p>
            <w:r/>
            <w:r>
              <w:rPr>
                <w:rFonts w:ascii="Calibri" w:hAnsi="Calibri"/>
                <w:b/>
                <w:color w:val="FFFFFF"/>
                <w:sz w:val="18"/>
              </w:rPr>
              <w:t>Merchant-first promise</w:t>
            </w:r>
          </w:p>
        </w:tc>
        <w:tc>
          <w:tcPr>
            <w:tcW w:type="dxa" w:w="3264"/>
            <w:shd w:fill="0F2A44"/>
          </w:tcPr>
          <w:p>
            <w:r/>
            <w:r>
              <w:rPr>
                <w:rFonts w:ascii="Calibri" w:hAnsi="Calibri"/>
                <w:b/>
                <w:color w:val="FFFFFF"/>
                <w:sz w:val="18"/>
              </w:rPr>
            </w:r>
          </w:p>
        </w:tc>
        <w:tc>
          <w:tcPr>
            <w:tcW w:type="dxa" w:w="3264"/>
            <w:shd w:fill="0F2A44"/>
          </w:tcPr>
          <w:p>
            <w:r/>
            <w:r>
              <w:rPr>
                <w:rFonts w:ascii="Calibri" w:hAnsi="Calibri"/>
                <w:b/>
                <w:color w:val="FFFFFF"/>
                <w:sz w:val="18"/>
              </w:rPr>
            </w:r>
          </w:p>
        </w:tc>
      </w:tr>
      <w:tr>
        <w:tc>
          <w:tcPr>
            <w:tcW w:type="dxa" w:w="3264"/>
          </w:tcPr>
          <w:p>
            <w:r/>
            <w:r>
              <w:rPr>
                <w:rFonts w:ascii="Calibri" w:hAnsi="Calibri"/>
                <w:sz w:val="18"/>
              </w:rPr>
              <w:t>15% commission cap</w:t>
            </w:r>
          </w:p>
        </w:tc>
        <w:tc>
          <w:tcPr>
            <w:tcW w:type="dxa" w:w="3264"/>
          </w:tcPr>
          <w:p>
            <w:r/>
            <w:r>
              <w:rPr>
                <w:rFonts w:ascii="Calibri" w:hAnsi="Calibri"/>
                <w:sz w:val="18"/>
              </w:rPr>
              <w:t>$2.49 consumer service fee paid by the customer</w:t>
            </w:r>
          </w:p>
        </w:tc>
        <w:tc>
          <w:tcPr>
            <w:tcW w:type="dxa" w:w="3264"/>
          </w:tcPr>
          <w:p>
            <w:r/>
            <w:r>
              <w:rPr>
                <w:rFonts w:ascii="Calibri" w:hAnsi="Calibri"/>
                <w:sz w:val="18"/>
              </w:rPr>
              <w:t>No tablet or hardware to buy</w:t>
            </w:r>
          </w:p>
        </w:tc>
      </w:tr>
      <w:tr>
        <w:tc>
          <w:tcPr>
            <w:tcW w:type="dxa" w:w="3264"/>
          </w:tcPr>
          <w:p>
            <w:r/>
            <w:r>
              <w:rPr>
                <w:rFonts w:ascii="Calibri" w:hAnsi="Calibri"/>
                <w:sz w:val="18"/>
              </w:rPr>
              <w:t>Locked during the Initial Term</w:t>
            </w:r>
          </w:p>
        </w:tc>
        <w:tc>
          <w:tcPr>
            <w:tcW w:type="dxa" w:w="3264"/>
          </w:tcPr>
          <w:p>
            <w:r/>
            <w:r>
              <w:rPr>
                <w:rFonts w:ascii="Calibri" w:hAnsi="Calibri"/>
                <w:sz w:val="18"/>
              </w:rPr>
              <w:t>Disclosed at checkout; never deducted from settlement</w:t>
            </w:r>
          </w:p>
        </w:tc>
        <w:tc>
          <w:tcPr>
            <w:tcW w:type="dxa" w:w="3264"/>
          </w:tcPr>
          <w:p>
            <w:r/>
            <w:r>
              <w:rPr>
                <w:rFonts w:ascii="Calibri" w:hAnsi="Calibri"/>
                <w:sz w:val="18"/>
              </w:rPr>
              <w:t>Bring your own device (BYOD)</w:t>
            </w:r>
          </w:p>
        </w:tc>
      </w:tr>
    </w:tbl>
    <w:p>
      <w:pPr>
        <w:spacing w:after="40"/>
      </w:pPr>
    </w:p>
    <w:p>
      <w:pPr>
        <w:spacing w:after="120"/>
      </w:pPr>
      <w:r>
        <w:rPr>
          <w:i w:val="0"/>
          <w:color w:val="4A4A4A"/>
          <w:sz w:val="18"/>
        </w:rPr>
        <w:t>Contents — 1. Parties, acceptance, and precedence · 2. Services · 3. Fees — the 15% cap · 4. Menu, pricing, and price parity · 5. Orders, preparation, and verified pickup · 6. Delivery verification — PIN is the standard · 7. Payments and settlement · 8. Operating standards and account health · 9. Data, privacy, devices, and confidentiality · 10. Marketing, branding, and reviews · 11. Term and termination · 12. Liability, indemnification, and insurance · 13. Dispute resolution and governing law · 14. General provisions · Acceptance and signatures · Exhibit A.</w:t>
      </w:r>
    </w:p>
    <w:p>
      <w:pPr>
        <w:pStyle w:val="Heading1"/>
      </w:pPr>
      <w:r>
        <w:t>1. Parties, acceptance, and precedence</w:t>
      </w:r>
    </w:p>
    <w:p>
      <w:pPr>
        <w:spacing w:after="120"/>
      </w:pPr>
      <w:r>
        <w:rPr>
          <w:i w:val="0"/>
          <w:sz w:val="21"/>
        </w:rPr>
        <w:t>1.1 Parties. This Merchant Terms of Service Agreement (these “Terms”) is entered into between SwyftBite (“SwyftBite,” “we,” or “us”) and the restaurant or food merchant that creates a SwyftBite merchant account and accepts these Terms (“Merchant,” “you”). The individual accepting these Terms represents that they are authorized to bind Merchant.</w:t>
      </w:r>
    </w:p>
    <w:p>
      <w:pPr>
        <w:spacing w:after="120"/>
      </w:pPr>
      <w:r>
        <w:rPr>
          <w:i w:val="0"/>
          <w:sz w:val="21"/>
        </w:rPr>
        <w:t>1.2 Acceptance. By clicking “Accept,” signing Exhibit A, or continuing to use the SwyftBite merchant services after notice, Merchant agrees to be bound by these Terms. Electronic acceptance and electronic signatures are effective as originals.</w:t>
      </w:r>
    </w:p>
    <w:p>
      <w:pPr>
        <w:spacing w:after="120"/>
      </w:pPr>
      <w:r>
        <w:rPr>
          <w:i w:val="0"/>
          <w:sz w:val="21"/>
        </w:rPr>
        <w:t>1.3 Relationship to the Merchant Partner Agreement. These Terms are incorporated into the Merchant Partner Agreement. In the event of a conflict, the order of precedence is: (a) the body of the signed Merchant Partner Agreement; (b) these Terms; (c) the Onboarding Guide and Data Protection Addendum (which interpret but do not override (a) or (b)).</w:t>
      </w:r>
    </w:p>
    <w:p>
      <w:pPr>
        <w:spacing w:after="120"/>
      </w:pPr>
      <w:r>
        <w:rPr>
          <w:i w:val="0"/>
          <w:sz w:val="21"/>
        </w:rPr>
        <w:t>1.4 No unilateral price changes. SwyftBite will not change the commission rate in §3.1, introduce a new merchant fee, or change the settlement cycle in §7 by posting revised terms alone. Any such change requires a written amendment signed by both parties (§§2, 14). SwyftBite may update non-price platform procedures on 14 days’ dashboard or email notice, provided the update does not materially increase Merchant cost or reduce Merchant rights under §§2–3.</w:t>
      </w:r>
    </w:p>
    <w:p>
      <w:pPr>
        <w:pStyle w:val="Heading1"/>
      </w:pPr>
      <w:r>
        <w:t>2. Services</w:t>
      </w:r>
    </w:p>
    <w:p>
      <w:pPr>
        <w:spacing w:after="120"/>
      </w:pPr>
      <w:r>
        <w:rPr>
          <w:i w:val="0"/>
          <w:sz w:val="21"/>
        </w:rPr>
        <w:t>During the Term, SwyftBite will provide the following services:</w:t>
      </w:r>
    </w:p>
    <w:p>
      <w:pPr>
        <w:pStyle w:val="ListBullet"/>
        <w:spacing w:after="60"/>
      </w:pPr>
      <w:r>
        <w:rPr>
          <w:b/>
        </w:rPr>
        <w:t xml:space="preserve">Marketplace listing. </w:t>
      </w:r>
      <w:r>
        <w:t>A Merchant storefront on the SwyftBite consumer app and website, including menu, photos, hours, and location.</w:t>
      </w:r>
    </w:p>
    <w:p>
      <w:pPr>
        <w:pStyle w:val="ListBullet"/>
        <w:spacing w:after="60"/>
      </w:pPr>
      <w:r>
        <w:rPr>
          <w:b/>
        </w:rPr>
        <w:t xml:space="preserve">Order management — bring your own device. </w:t>
      </w:r>
      <w:r>
        <w:t>Order receipt, confirmation, and transmission through the SwyftBite merchant web dashboard and mobile app, order alerts, and (where agreed in Exhibit A) phone-assisted order relay. Merchant may use any compatible device it owns or controls. No proprietary tablet purchase or rental is required, and SwyftBite does not supply locked-down kiosk hardware under these Terms.</w:t>
      </w:r>
    </w:p>
    <w:p>
      <w:pPr>
        <w:pStyle w:val="ListBullet"/>
        <w:spacing w:after="60"/>
      </w:pPr>
      <w:r>
        <w:rPr>
          <w:b/>
        </w:rPr>
        <w:t xml:space="preserve">Dispatch and delivery. </w:t>
      </w:r>
      <w:r>
        <w:t>Driver-controlled dispatch to independent delivery drivers serving Merchant’s operating cell, with a SwyftBite dispatcher backstop when an order remains unclaimed beyond the zone window (see §6).</w:t>
      </w:r>
    </w:p>
    <w:p>
      <w:pPr>
        <w:pStyle w:val="ListBullet"/>
        <w:spacing w:after="60"/>
      </w:pPr>
      <w:r>
        <w:rPr>
          <w:b/>
        </w:rPr>
        <w:t xml:space="preserve">Payment processing. </w:t>
      </w:r>
      <w:r>
        <w:t>Collection of customer payment (including taxes and pass-through tips where applicable), fraud screening, and settlement to Merchant under §7. Card data is processed by SwyftBite’s payment provider; neither party stores raw card numbers under these Terms.</w:t>
      </w:r>
    </w:p>
    <w:p>
      <w:pPr>
        <w:pStyle w:val="ListBullet"/>
        <w:spacing w:after="60"/>
      </w:pPr>
      <w:r>
        <w:rPr>
          <w:b/>
        </w:rPr>
        <w:t xml:space="preserve">Customer support. </w:t>
      </w:r>
      <w:r>
        <w:t>First-line customer support for order status, delivery issues, and delivery-failure refunds. Merchant will cooperate on food-quality or preparation inquiries that only Merchant can answer.</w:t>
      </w:r>
    </w:p>
    <w:p>
      <w:pPr>
        <w:pStyle w:val="ListBullet"/>
        <w:spacing w:after="60"/>
      </w:pPr>
      <w:r>
        <w:rPr>
          <w:b/>
        </w:rPr>
        <w:t xml:space="preserve">Marketing. </w:t>
      </w:r>
      <w:r>
        <w:t>Inclusion in launch marketing, in-app placement, and local promotion in the service area, subject to §10.</w:t>
      </w:r>
    </w:p>
    <w:p>
      <w:pPr>
        <w:pStyle w:val="Heading1"/>
      </w:pPr>
      <w:r>
        <w:t>3. Fees — the 15% cap</w:t>
      </w:r>
    </w:p>
    <w:p>
      <w:pPr>
        <w:spacing w:after="120"/>
      </w:pPr>
      <w:r>
        <w:rPr>
          <w:i w:val="0"/>
          <w:sz w:val="21"/>
        </w:rPr>
        <w:t>The economics in this section are the core of the SwyftBite merchant promise. The commission rate in §3.1 will not increase during the Initial Term (§11) without Merchant’s written consent.</w:t>
      </w:r>
    </w:p>
    <w:p>
      <w:pPr>
        <w:spacing w:after="120"/>
      </w:pPr>
      <w:r>
        <w:rPr>
          <w:i w:val="0"/>
          <w:sz w:val="21"/>
        </w:rPr>
        <w:t>3.1 Standard commission. Merchant will pay SwyftBite a commission of 15% of the order subtotal (food and beverage items, before tax) for each order processed through the platform. Sales tax collected for remittance and customer tips are excluded from the commission base. Payment processing is included in the commission; there is no separate processing pass-through to Merchant.</w:t>
      </w:r>
    </w:p>
    <w:p>
      <w:pPr>
        <w:spacing w:after="120"/>
      </w:pPr>
      <w:r>
        <w:rPr>
          <w:i w:val="0"/>
          <w:sz w:val="21"/>
        </w:rPr>
        <w:t>3.2 Consumer fees — not deducted from Merchant. The customer pays a $2.49 flat consumer service fee (disclosed at checkout) and a $3.99 delivery fee per order. Neither fee is deducted from Merchant settlement. The $3.99 delivery fee is routed to driver base compensation (the platform guarantees drivers $6.50 per completed delivery: $3.99 delivery fee plus a $2.51 platform top-up, plus 100% of customer tips designated for the driver). Merchant has no obligation to fund driver pay beyond the commission in §3.1.</w:t>
      </w:r>
    </w:p>
    <w:p>
      <w:pPr>
        <w:spacing w:after="120"/>
      </w:pPr>
      <w:r>
        <w:rPr>
          <w:i w:val="0"/>
          <w:sz w:val="21"/>
        </w:rPr>
        <w:t>3.3 Worked example. On a $35.00 subtotal, Merchant commission is $5.25 and Merchant net before tax/tip pass-through is $29.75. Taxes collected for Merchant remittance and Merchant-designated tips pass through in addition to that net (see §7).</w:t>
      </w:r>
    </w:p>
    <w:p>
      <w:pPr>
        <w:spacing w:after="120"/>
      </w:pPr>
      <w:r>
        <w:rPr>
          <w:i w:val="0"/>
          <w:sz w:val="21"/>
        </w:rPr>
        <w:t>3.4 Promotions. Merchant-funded discounts reduce the subtotal before commission is calculated unless the promotion terms state otherwise. SwyftBite-funded promotions do not reduce Merchant settlement.</w:t>
      </w:r>
    </w:p>
    <w:p>
      <w:pPr>
        <w:spacing w:after="120"/>
      </w:pPr>
      <w:r>
        <w:rPr>
          <w:i w:val="0"/>
          <w:sz w:val="21"/>
        </w:rPr>
        <w:t>3.5 No hidden fees. Any fee other than the commission in §3.1 must be added by written amendment signed by both parties. In particular, the following charges are $0 under these Terms: activation/onboarding, listing, marketplace, equipment/tablet, and launch menu photography (Merchant may substitute its own photos at any time).</w:t>
      </w:r>
    </w:p>
    <w:tbl>
      <w:tblPr>
        <w:tblStyle w:val="TableGrid"/>
        <w:tblW w:type="auto" w:w="0"/>
        <w:jc w:val="center"/>
        <w:tblLayout w:type="autofit"/>
        <w:tblLook w:firstColumn="1" w:firstRow="1" w:lastColumn="0" w:lastRow="0" w:noHBand="0" w:noVBand="1" w:val="04A0"/>
      </w:tblPr>
      <w:tblGrid>
        <w:gridCol w:w="3264"/>
        <w:gridCol w:w="3264"/>
        <w:gridCol w:w="3264"/>
      </w:tblGrid>
      <w:tr>
        <w:trPr>
          <w:tblHeader w:val="true"/>
        </w:trPr>
        <w:tc>
          <w:tcPr>
            <w:tcW w:type="dxa" w:w="3264"/>
            <w:shd w:fill="0F2A44"/>
          </w:tcPr>
          <w:p>
            <w:r/>
            <w:r>
              <w:rPr>
                <w:rFonts w:ascii="Calibri" w:hAnsi="Calibri"/>
                <w:b/>
                <w:color w:val="FFFFFF"/>
                <w:sz w:val="18"/>
              </w:rPr>
              <w:t>Charge</w:t>
            </w:r>
          </w:p>
        </w:tc>
        <w:tc>
          <w:tcPr>
            <w:tcW w:type="dxa" w:w="3264"/>
            <w:shd w:fill="0F2A44"/>
          </w:tcPr>
          <w:p>
            <w:r/>
            <w:r>
              <w:rPr>
                <w:rFonts w:ascii="Calibri" w:hAnsi="Calibri"/>
                <w:b/>
                <w:color w:val="FFFFFF"/>
                <w:sz w:val="18"/>
              </w:rPr>
              <w:t>Amount</w:t>
            </w:r>
          </w:p>
        </w:tc>
        <w:tc>
          <w:tcPr>
            <w:tcW w:type="dxa" w:w="3264"/>
            <w:shd w:fill="0F2A44"/>
          </w:tcPr>
          <w:p>
            <w:r/>
            <w:r>
              <w:rPr>
                <w:rFonts w:ascii="Calibri" w:hAnsi="Calibri"/>
                <w:b/>
                <w:color w:val="FFFFFF"/>
                <w:sz w:val="18"/>
              </w:rPr>
              <w:t>Paid by / treatment</w:t>
            </w:r>
          </w:p>
        </w:tc>
      </w:tr>
      <w:tr>
        <w:tc>
          <w:tcPr>
            <w:tcW w:type="dxa" w:w="3264"/>
          </w:tcPr>
          <w:p>
            <w:r/>
            <w:r>
              <w:rPr>
                <w:rFonts w:ascii="Calibri" w:hAnsi="Calibri"/>
                <w:sz w:val="18"/>
              </w:rPr>
              <w:t>Commission</w:t>
            </w:r>
          </w:p>
        </w:tc>
        <w:tc>
          <w:tcPr>
            <w:tcW w:type="dxa" w:w="3264"/>
          </w:tcPr>
          <w:p>
            <w:r/>
            <w:r>
              <w:rPr>
                <w:rFonts w:ascii="Calibri" w:hAnsi="Calibri"/>
                <w:sz w:val="18"/>
              </w:rPr>
              <w:t>15% of subtotal (before tax)</w:t>
            </w:r>
          </w:p>
        </w:tc>
        <w:tc>
          <w:tcPr>
            <w:tcW w:type="dxa" w:w="3264"/>
          </w:tcPr>
          <w:p>
            <w:r/>
            <w:r>
              <w:rPr>
                <w:rFonts w:ascii="Calibri" w:hAnsi="Calibri"/>
                <w:sz w:val="18"/>
              </w:rPr>
              <w:t>Merchant; deducted at settlement</w:t>
            </w:r>
          </w:p>
        </w:tc>
      </w:tr>
      <w:tr>
        <w:tc>
          <w:tcPr>
            <w:tcW w:type="dxa" w:w="3264"/>
          </w:tcPr>
          <w:p>
            <w:r/>
            <w:r>
              <w:rPr>
                <w:rFonts w:ascii="Calibri" w:hAnsi="Calibri"/>
                <w:sz w:val="18"/>
              </w:rPr>
              <w:t>Consumer service fee</w:t>
            </w:r>
          </w:p>
        </w:tc>
        <w:tc>
          <w:tcPr>
            <w:tcW w:type="dxa" w:w="3264"/>
          </w:tcPr>
          <w:p>
            <w:r/>
            <w:r>
              <w:rPr>
                <w:rFonts w:ascii="Calibri" w:hAnsi="Calibri"/>
                <w:sz w:val="18"/>
              </w:rPr>
              <w:t>$2.49 flat per order</w:t>
            </w:r>
          </w:p>
        </w:tc>
        <w:tc>
          <w:tcPr>
            <w:tcW w:type="dxa" w:w="3264"/>
          </w:tcPr>
          <w:p>
            <w:r/>
            <w:r>
              <w:rPr>
                <w:rFonts w:ascii="Calibri" w:hAnsi="Calibri"/>
                <w:sz w:val="18"/>
              </w:rPr>
              <w:t>Customer; never deducted from Merchant</w:t>
            </w:r>
          </w:p>
        </w:tc>
      </w:tr>
      <w:tr>
        <w:tc>
          <w:tcPr>
            <w:tcW w:type="dxa" w:w="3264"/>
          </w:tcPr>
          <w:p>
            <w:r/>
            <w:r>
              <w:rPr>
                <w:rFonts w:ascii="Calibri" w:hAnsi="Calibri"/>
                <w:sz w:val="18"/>
              </w:rPr>
              <w:t>Delivery fee</w:t>
            </w:r>
          </w:p>
        </w:tc>
        <w:tc>
          <w:tcPr>
            <w:tcW w:type="dxa" w:w="3264"/>
          </w:tcPr>
          <w:p>
            <w:r/>
            <w:r>
              <w:rPr>
                <w:rFonts w:ascii="Calibri" w:hAnsi="Calibri"/>
                <w:sz w:val="18"/>
              </w:rPr>
              <w:t>$3.99 per order</w:t>
            </w:r>
          </w:p>
        </w:tc>
        <w:tc>
          <w:tcPr>
            <w:tcW w:type="dxa" w:w="3264"/>
          </w:tcPr>
          <w:p>
            <w:r/>
            <w:r>
              <w:rPr>
                <w:rFonts w:ascii="Calibri" w:hAnsi="Calibri"/>
                <w:sz w:val="18"/>
              </w:rPr>
              <w:t>Customer; funds driver base pay</w:t>
            </w:r>
          </w:p>
        </w:tc>
      </w:tr>
      <w:tr>
        <w:tc>
          <w:tcPr>
            <w:tcW w:type="dxa" w:w="3264"/>
          </w:tcPr>
          <w:p>
            <w:r/>
            <w:r>
              <w:rPr>
                <w:rFonts w:ascii="Calibri" w:hAnsi="Calibri"/>
                <w:sz w:val="18"/>
              </w:rPr>
              <w:t>Processing</w:t>
            </w:r>
          </w:p>
        </w:tc>
        <w:tc>
          <w:tcPr>
            <w:tcW w:type="dxa" w:w="3264"/>
          </w:tcPr>
          <w:p>
            <w:r/>
            <w:r>
              <w:rPr>
                <w:rFonts w:ascii="Calibri" w:hAnsi="Calibri"/>
                <w:sz w:val="18"/>
              </w:rPr>
              <w:t>Included</w:t>
            </w:r>
          </w:p>
        </w:tc>
        <w:tc>
          <w:tcPr>
            <w:tcW w:type="dxa" w:w="3264"/>
          </w:tcPr>
          <w:p>
            <w:r/>
            <w:r>
              <w:rPr>
                <w:rFonts w:ascii="Calibri" w:hAnsi="Calibri"/>
                <w:sz w:val="18"/>
              </w:rPr>
              <w:t>No separate pass-through</w:t>
            </w:r>
          </w:p>
        </w:tc>
      </w:tr>
      <w:tr>
        <w:tc>
          <w:tcPr>
            <w:tcW w:type="dxa" w:w="3264"/>
          </w:tcPr>
          <w:p>
            <w:r/>
            <w:r>
              <w:rPr>
                <w:rFonts w:ascii="Calibri" w:hAnsi="Calibri"/>
                <w:sz w:val="18"/>
              </w:rPr>
              <w:t>Equipment / tablet</w:t>
            </w:r>
          </w:p>
        </w:tc>
        <w:tc>
          <w:tcPr>
            <w:tcW w:type="dxa" w:w="3264"/>
          </w:tcPr>
          <w:p>
            <w:r/>
            <w:r>
              <w:rPr>
                <w:rFonts w:ascii="Calibri" w:hAnsi="Calibri"/>
                <w:sz w:val="18"/>
              </w:rPr>
              <w:t>$0</w:t>
            </w:r>
          </w:p>
        </w:tc>
        <w:tc>
          <w:tcPr>
            <w:tcW w:type="dxa" w:w="3264"/>
          </w:tcPr>
          <w:p>
            <w:r/>
            <w:r>
              <w:rPr>
                <w:rFonts w:ascii="Calibri" w:hAnsi="Calibri"/>
                <w:sz w:val="18"/>
              </w:rPr>
              <w:t>BYOD; Merchant uses its own device</w:t>
            </w:r>
          </w:p>
        </w:tc>
      </w:tr>
    </w:tbl>
    <w:p>
      <w:pPr>
        <w:spacing w:after="40"/>
      </w:pPr>
    </w:p>
    <w:p>
      <w:pPr>
        <w:pStyle w:val="Heading1"/>
      </w:pPr>
      <w:r>
        <w:t>4. Menu, pricing, and price parity</w:t>
      </w:r>
    </w:p>
    <w:p>
      <w:pPr>
        <w:pStyle w:val="ListBullet"/>
        <w:spacing w:after="60"/>
      </w:pPr>
      <w:r>
        <w:rPr>
          <w:b/>
        </w:rPr>
        <w:t xml:space="preserve">Merchant controls its menu. </w:t>
      </w:r>
      <w:r>
        <w:t>Items, descriptions, modifiers, allergen notes, and availability are supplied and controlled by Merchant. Merchant will keep the menu accurate, update it promptly when items or prices change, and mark an item unavailable (“86”) rather than accepting an order it cannot fulfill.</w:t>
      </w:r>
    </w:p>
    <w:p>
      <w:pPr>
        <w:pStyle w:val="ListBullet"/>
        <w:spacing w:after="60"/>
      </w:pPr>
      <w:r>
        <w:rPr>
          <w:b/>
        </w:rPr>
        <w:t xml:space="preserve">Price parity. </w:t>
      </w:r>
      <w:r>
        <w:t>Prices listed on SwyftBite will be the same as Merchant’s in-store menu prices for the same items. Merchant may offer SwyftBite-exclusive bundles or promotions. Parity is a pricing covenant, not a SwyftBite right to set Merchant’s in-store prices.</w:t>
      </w:r>
    </w:p>
    <w:p>
      <w:pPr>
        <w:pStyle w:val="ListBullet"/>
        <w:spacing w:after="60"/>
      </w:pPr>
      <w:r>
        <w:rPr>
          <w:b/>
        </w:rPr>
        <w:t xml:space="preserve">Parity checks. </w:t>
      </w:r>
      <w:r>
        <w:t>Merchant will cooperate with reasonable price-parity audits (menu comparison on request). If SwyftBite identifies a parity variance, the parties will correct the SwyftBite listing to the in-store price; a good-faith listing correction is not a material breach.</w:t>
      </w:r>
    </w:p>
    <w:p>
      <w:pPr>
        <w:pStyle w:val="ListBullet"/>
        <w:spacing w:after="60"/>
      </w:pPr>
      <w:r>
        <w:rPr>
          <w:b/>
        </w:rPr>
        <w:t xml:space="preserve">Hours and prep time. </w:t>
      </w:r>
      <w:r>
        <w:t>Merchant will publish accurate ordering hours and a realistic preparation-time profile, and will accept orders only when it can prepare them within the quoted time (see §5).</w:t>
      </w:r>
    </w:p>
    <w:p>
      <w:pPr>
        <w:pStyle w:val="ListBullet"/>
        <w:spacing w:after="60"/>
      </w:pPr>
      <w:r>
        <w:rPr>
          <w:b/>
        </w:rPr>
        <w:t xml:space="preserve">Compliance. </w:t>
      </w:r>
      <w:r>
        <w:t>Menu content must comply with applicable law, including allergen and calorie disclosure where required. Merchant is responsible for the accuracy of its listings.</w:t>
      </w:r>
    </w:p>
    <w:p>
      <w:pPr>
        <w:pStyle w:val="Heading1"/>
      </w:pPr>
      <w:r>
        <w:t>5. Orders, preparation, and verified pickup</w:t>
      </w:r>
    </w:p>
    <w:p>
      <w:pPr>
        <w:spacing w:after="120"/>
      </w:pPr>
      <w:r>
        <w:rPr>
          <w:i w:val="0"/>
          <w:sz w:val="21"/>
        </w:rPr>
        <w:t>Each order moves through a recorded sequence — PLACED → ACCEPTED → READY → PICKUP VERIFIED → DELIVERED — so both parties share the same factual record if a dispute arises.</w:t>
      </w:r>
    </w:p>
    <w:p>
      <w:pPr>
        <w:pStyle w:val="ListNumber"/>
        <w:spacing w:after="60"/>
      </w:pPr>
      <w:r>
        <w:rPr>
          <w:b/>
        </w:rPr>
        <w:t xml:space="preserve">Customer places and pays. </w:t>
      </w:r>
      <w:r>
        <w:t>The customer places the order and pays through SwyftBite. SwyftBite transmits the order to Merchant with a unique order identifier and barcode.</w:t>
      </w:r>
    </w:p>
    <w:p>
      <w:pPr>
        <w:pStyle w:val="ListNumber"/>
        <w:spacing w:after="60"/>
      </w:pPr>
      <w:r>
        <w:rPr>
          <w:b/>
        </w:rPr>
        <w:t xml:space="preserve">Merchant accepts with a prep time. </w:t>
      </w:r>
      <w:r>
        <w:t>Merchant accepts the order and confirms the preparation time. If Merchant cannot fulfill the order, Merchant will reject it promptly through the dashboard so the customer can be refunded or re-routed. Repeated late rejects count toward the acceptance standard in §8.</w:t>
      </w:r>
    </w:p>
    <w:p>
      <w:pPr>
        <w:pStyle w:val="ListNumber"/>
        <w:spacing w:after="60"/>
      </w:pPr>
      <w:r>
        <w:rPr>
          <w:b/>
        </w:rPr>
        <w:t xml:space="preserve">Merchant prepares and marks Ready. </w:t>
      </w:r>
      <w:r>
        <w:t>Merchant prepares the order to be ready at the confirmed time, packaged under §5.1, labeled with the order identifier, and taps Ready for Pickup only when the sealed package is physically ready. Marking Ready early to hold a driver is a standards violation.</w:t>
      </w:r>
    </w:p>
    <w:p>
      <w:pPr>
        <w:pStyle w:val="ListNumber"/>
        <w:spacing w:after="60"/>
      </w:pPr>
      <w:r>
        <w:rPr>
          <w:b/>
        </w:rPr>
        <w:t xml:space="preserve">Verified pickup. </w:t>
      </w:r>
      <w:r>
        <w:t>The assigned driver arrives and presents the order identifier in the driver app. Merchant verifies that the identifier and the receipt barcode match the claimed order before handing over the package. No handoff is valid without this match (see §5.2).</w:t>
      </w:r>
    </w:p>
    <w:p>
      <w:pPr>
        <w:pStyle w:val="ListNumber"/>
        <w:spacing w:after="60"/>
      </w:pPr>
      <w:r>
        <w:rPr>
          <w:b/>
        </w:rPr>
        <w:t xml:space="preserve">Delivery. </w:t>
      </w:r>
      <w:r>
        <w:t>Delivery is completed under §6.</w:t>
      </w:r>
    </w:p>
    <w:p>
      <w:pPr>
        <w:spacing w:after="120"/>
      </w:pPr>
      <w:r>
        <w:rPr>
          <w:i w:val="0"/>
          <w:sz w:val="21"/>
        </w:rPr>
        <w:t>5.1 Packaging. All items must be packaged to ensure food safety and prevent leakage in transit. Merchant will use tamper-evident seals on all outer packaging, keep hot and cold items separated where needed, and, for multi-bag orders, attach a receipt copy to every bag marked “1 of 2,” “2 of 2,” and so on. The driver must scan the barcode on every bag to complete pickup.</w:t>
      </w:r>
    </w:p>
    <w:p>
      <w:pPr>
        <w:spacing w:after="120"/>
      </w:pPr>
      <w:r>
        <w:rPr>
          <w:i w:val="0"/>
          <w:sz w:val="21"/>
        </w:rPr>
        <w:t>5.2 Hold on mismatch. Merchant will not hand an order to a driver whose order identifier or barcode does not match. On a mismatch, Merchant will hold the order, notify SwyftBite support through the dashboard, and follow the dispatcher’s reassignment. A good-faith hold under this section does not count against Merchant’s prep-time standard.</w:t>
      </w:r>
    </w:p>
    <w:p>
      <w:pPr>
        <w:spacing w:after="120"/>
      </w:pPr>
      <w:r>
        <w:rPr>
          <w:i w:val="0"/>
          <w:sz w:val="21"/>
        </w:rPr>
        <w:t>5.3 Delays. If a driver is delayed beyond the confirmed pickup window, Merchant will hold the order under appropriate food-safe conditions and notify SwyftBite of any quality risk. Merchant will not re-fire or remake an order without SwyftBite authorization where SwyftBite is expected to bear the remake cost.</w:t>
      </w:r>
    </w:p>
    <w:p>
      <w:pPr>
        <w:pStyle w:val="Heading1"/>
      </w:pPr>
      <w:r>
        <w:t>6. Delivery verification — PIN is the standard</w:t>
      </w:r>
    </w:p>
    <w:p>
      <w:pPr>
        <w:spacing w:after="120"/>
      </w:pPr>
      <w:r>
        <w:rPr>
          <w:i w:val="0"/>
          <w:sz w:val="21"/>
        </w:rPr>
        <w:t>SwyftBite uses Level 2 verification on every order: barcode scan at pickup (§5) plus a PIN at delivery. This section states the default and the single exception. The PIN is not limited to high-value orders or designated zones.</w:t>
      </w:r>
    </w:p>
    <w:p>
      <w:pPr>
        <w:spacing w:after="120"/>
      </w:pPr>
      <w:r>
        <w:rPr>
          <w:i w:val="0"/>
          <w:sz w:val="21"/>
        </w:rPr>
        <w:t>6.1 Standard: 4-digit PIN handoff. At checkout, SwyftBite issues the customer a unique 4-digit delivery PIN (delivered in the customer app, with SMS as a fallback). At the delivery address, the customer (or the customer’s designee) provides the PIN and the driver enters it in the driver app. The order reaches DELIVERED only on a correct PIN match. Merchant’s duty under this section is limited to marking Ready accurately under §5; Merchant does not handle customer PINs.</w:t>
      </w:r>
    </w:p>
    <w:p>
      <w:pPr>
        <w:spacing w:after="120"/>
      </w:pPr>
      <w:r>
        <w:rPr>
          <w:i w:val="0"/>
          <w:sz w:val="21"/>
        </w:rPr>
        <w:t>6.2 Exception: contactless photo proof. Only where the customer selects contactless drop-off or is unavailable at handoff, the driver may complete delivery with dual-angle photo proof plus a GPS timestamp recorded in the driver app. Photo proof is the exception path, not a substitute the driver may choose for convenience. SwyftBite will flag exception-path deliveries in the order timeline visible to Merchant.</w:t>
      </w:r>
    </w:p>
    <w:p>
      <w:pPr>
        <w:spacing w:after="120"/>
      </w:pPr>
      <w:r>
        <w:rPr>
          <w:i w:val="0"/>
          <w:sz w:val="21"/>
        </w:rPr>
        <w:t>6.3 PIN handling. PINs are generated per order, transmitted over encrypted channels, cached only briefly for delivery, and stored in the order record in hashed form. Neither party will log, share, or reuse a customer PIN. A PIN match (or a valid §6.2 record) is the platform’s evidence of completed delivery for purposes of §7.4.</w:t>
      </w:r>
    </w:p>
    <w:p>
      <w:pPr>
        <w:spacing w:after="120"/>
      </w:pPr>
      <w:r>
        <w:rPr>
          <w:i w:val="0"/>
          <w:sz w:val="21"/>
        </w:rPr>
        <w:t>6.4 Dispatch backstop. Drivers choose the orders they claim. If an order is not claimed within the window SwyftBite sets for Merchant’s zone, SwyftBite will escalate — expanding the alert radius, offering a targeted incentive on that order, contacting eligible drivers directly, and updating the customer’s promised time proactively. Driver autonomy does not excuse SwyftBite from this escalation duty.</w:t>
      </w:r>
    </w:p>
    <w:p>
      <w:pPr>
        <w:pStyle w:val="Heading1"/>
      </w:pPr>
      <w:r>
        <w:t>7. Payments and settlement</w:t>
      </w:r>
    </w:p>
    <w:p>
      <w:pPr>
        <w:spacing w:after="120"/>
      </w:pPr>
      <w:r>
        <w:rPr>
          <w:i w:val="0"/>
          <w:sz w:val="21"/>
        </w:rPr>
        <w:t>7.1 Settlement cycle. SwyftBite will settle weekly for orders completed Monday through Sunday, by ACH to the account in Exhibit A, ordinarily within three (3) business days after the cycle closes. If a bank holiday delays the ACH window, SwyftBite will notify Merchant of the revised date.</w:t>
      </w:r>
    </w:p>
    <w:p>
      <w:pPr>
        <w:spacing w:after="120"/>
      </w:pPr>
      <w:r>
        <w:rPr>
          <w:i w:val="0"/>
          <w:sz w:val="21"/>
        </w:rPr>
        <w:t>7.2 Net settlement and reporting. Each settlement equals gross order subtotals, plus taxes collected for Merchant remittance and Merchant-designated tips, less the §3 commission, less itemized refunds or adjustments permitted under §7.4. Each settlement includes an itemized report: order count, subtotals, commission, refunds, taxes, tips, and net payable. No amount will be deducted from Merchant settlement without appearing as a line item in that report.</w:t>
      </w:r>
    </w:p>
    <w:p>
      <w:pPr>
        <w:spacing w:after="120"/>
      </w:pPr>
      <w:r>
        <w:rPr>
          <w:i w:val="0"/>
          <w:sz w:val="21"/>
        </w:rPr>
        <w:t>7.3 Disputes. Merchant will review each report promptly and may dispute any line item in writing within thirty (30) days after the report date, identifying the order and the amount in dispute. SwyftBite will respond with the order timeline and evidence for that line item. Undisputed amounts are paid on schedule; a good-faith dispute does not suspend the remainder of the settlement.</w:t>
      </w:r>
    </w:p>
    <w:p>
      <w:pPr>
        <w:spacing w:after="120"/>
      </w:pPr>
      <w:r>
        <w:rPr>
          <w:i w:val="0"/>
          <w:sz w:val="21"/>
        </w:rPr>
        <w:t>7.4 Refund attribution. Refunds and chargebacks are borne by the party whose conduct caused them, determined from the order record (accept/ready times, barcode scan, PIN or photo-proof record, and GPS timeline):</w:t>
      </w:r>
    </w:p>
    <w:p>
      <w:pPr>
        <w:pStyle w:val="ListBullet"/>
        <w:spacing w:after="60"/>
      </w:pPr>
      <w:r>
        <w:rPr>
          <w:b/>
        </w:rPr>
        <w:t xml:space="preserve">Delivery failure (platform/driver). </w:t>
      </w:r>
      <w:r>
        <w:t>Borne by SwyftBite, including non-delivery without a valid §6 record. Merchant will not be charged for a delivery it correctly prepared and handed over under §5.</w:t>
      </w:r>
    </w:p>
    <w:p>
      <w:pPr>
        <w:pStyle w:val="ListBullet"/>
        <w:spacing w:after="60"/>
      </w:pPr>
      <w:r>
        <w:rPr>
          <w:b/>
        </w:rPr>
        <w:t xml:space="preserve">Merchant preparation or packaging defect. </w:t>
      </w:r>
      <w:r>
        <w:t>Borne by Merchant (deducted only with itemized notice to Merchant before or with the deduction), supported by the itemized customer report for that order.</w:t>
      </w:r>
    </w:p>
    <w:p>
      <w:pPr>
        <w:pStyle w:val="ListBullet"/>
        <w:spacing w:after="60"/>
      </w:pPr>
      <w:r>
        <w:rPr>
          <w:b/>
        </w:rPr>
        <w:t xml:space="preserve">Customer fraud or false non-delivery claim. </w:t>
      </w:r>
      <w:r>
        <w:t>Contested by SwyftBite with the PIN or photo-proof record. Merchant will cooperate by preserving preparation and handoff records for that order.</w:t>
      </w:r>
    </w:p>
    <w:p>
      <w:pPr>
        <w:spacing w:after="120"/>
      </w:pPr>
      <w:r>
        <w:rPr>
          <w:i w:val="0"/>
          <w:sz w:val="21"/>
        </w:rPr>
        <w:t>7.5 Taxes. Merchant is responsible for setting correct tax rates for its menu and for remitting sales tax. SwyftBite will pass through tax amounts it collects on Merchant’s behalf as part of settlement and will not treat those amounts as platform revenue.</w:t>
      </w:r>
    </w:p>
    <w:p>
      <w:pPr>
        <w:spacing w:after="120"/>
      </w:pPr>
      <w:r>
        <w:rPr>
          <w:i w:val="0"/>
          <w:sz w:val="21"/>
        </w:rPr>
        <w:t>7.6 Chargebacks. If a customer payment is reversed for fraud or non-delivery, SwyftBite will notify Merchant with documentation. Costs are borne by the party whose conduct caused the reversal, consistent with §7.4.</w:t>
      </w:r>
    </w:p>
    <w:p>
      <w:pPr>
        <w:pStyle w:val="Heading1"/>
      </w:pPr>
      <w:r>
        <w:t>8. Operating standards and account health</w:t>
      </w:r>
    </w:p>
    <w:p>
      <w:pPr>
        <w:spacing w:after="120"/>
      </w:pPr>
      <w:r>
        <w:rPr>
          <w:i w:val="0"/>
          <w:sz w:val="21"/>
        </w:rPr>
        <w:t>SwyftBite monitors a small set of store-level measures to protect food quality and customer trust. The thresholds below are intervention triggers, not automatic penalties. Except for a food-safety risk or fraud (see §11), SwyftBite will raise a standards concern with Merchant and allow a reasonable cure or retraining before restricting listing visibility or suspending ordering.</w:t>
      </w:r>
    </w:p>
    <w:tbl>
      <w:tblPr>
        <w:tblStyle w:val="TableGrid"/>
        <w:tblW w:type="auto" w:w="0"/>
        <w:jc w:val="center"/>
        <w:tblLayout w:type="autofit"/>
        <w:tblLook w:firstColumn="1" w:firstRow="1" w:lastColumn="0" w:lastRow="0" w:noHBand="0" w:noVBand="1" w:val="04A0"/>
      </w:tblPr>
      <w:tblGrid>
        <w:gridCol w:w="3264"/>
        <w:gridCol w:w="3264"/>
        <w:gridCol w:w="3264"/>
      </w:tblGrid>
      <w:tr>
        <w:trPr>
          <w:tblHeader w:val="true"/>
        </w:trPr>
        <w:tc>
          <w:tcPr>
            <w:tcW w:type="dxa" w:w="3264"/>
            <w:shd w:fill="0F2A44"/>
          </w:tcPr>
          <w:p>
            <w:r/>
            <w:r>
              <w:rPr>
                <w:rFonts w:ascii="Calibri" w:hAnsi="Calibri"/>
                <w:b/>
                <w:color w:val="FFFFFF"/>
                <w:sz w:val="18"/>
              </w:rPr>
              <w:t>Health metric</w:t>
            </w:r>
          </w:p>
        </w:tc>
        <w:tc>
          <w:tcPr>
            <w:tcW w:type="dxa" w:w="3264"/>
            <w:shd w:fill="0F2A44"/>
          </w:tcPr>
          <w:p>
            <w:r/>
            <w:r>
              <w:rPr>
                <w:rFonts w:ascii="Calibri" w:hAnsi="Calibri"/>
                <w:b/>
                <w:color w:val="FFFFFF"/>
                <w:sz w:val="18"/>
              </w:rPr>
              <w:t>Green</w:t>
            </w:r>
          </w:p>
        </w:tc>
        <w:tc>
          <w:tcPr>
            <w:tcW w:type="dxa" w:w="3264"/>
            <w:shd w:fill="0F2A44"/>
          </w:tcPr>
          <w:p>
            <w:r/>
            <w:r>
              <w:rPr>
                <w:rFonts w:ascii="Calibri" w:hAnsi="Calibri"/>
                <w:b/>
                <w:color w:val="FFFFFF"/>
                <w:sz w:val="18"/>
              </w:rPr>
              <w:t>First intervention</w:t>
            </w:r>
          </w:p>
        </w:tc>
      </w:tr>
      <w:tr>
        <w:tc>
          <w:tcPr>
            <w:tcW w:type="dxa" w:w="3264"/>
          </w:tcPr>
          <w:p>
            <w:r/>
            <w:r>
              <w:rPr>
                <w:rFonts w:ascii="Calibri" w:hAnsi="Calibri"/>
                <w:sz w:val="18"/>
              </w:rPr>
              <w:t>Acceptance rate</w:t>
            </w:r>
          </w:p>
        </w:tc>
        <w:tc>
          <w:tcPr>
            <w:tcW w:type="dxa" w:w="3264"/>
          </w:tcPr>
          <w:p>
            <w:r/>
            <w:r>
              <w:rPr>
                <w:rFonts w:ascii="Calibri" w:hAnsi="Calibri"/>
                <w:sz w:val="18"/>
              </w:rPr>
              <w:t>≥ 95%</w:t>
            </w:r>
          </w:p>
        </w:tc>
        <w:tc>
          <w:tcPr>
            <w:tcW w:type="dxa" w:w="3264"/>
          </w:tcPr>
          <w:p>
            <w:r/>
            <w:r>
              <w:rPr>
                <w:rFonts w:ascii="Calibri" w:hAnsi="Calibri"/>
                <w:sz w:val="18"/>
              </w:rPr>
              <w:t>Retraining / hours audit</w:t>
            </w:r>
          </w:p>
        </w:tc>
      </w:tr>
      <w:tr>
        <w:tc>
          <w:tcPr>
            <w:tcW w:type="dxa" w:w="3264"/>
          </w:tcPr>
          <w:p>
            <w:r/>
            <w:r>
              <w:rPr>
                <w:rFonts w:ascii="Calibri" w:hAnsi="Calibri"/>
                <w:sz w:val="18"/>
              </w:rPr>
              <w:t>Median ready-time variance</w:t>
            </w:r>
          </w:p>
        </w:tc>
        <w:tc>
          <w:tcPr>
            <w:tcW w:type="dxa" w:w="3264"/>
          </w:tcPr>
          <w:p>
            <w:r/>
            <w:r>
              <w:rPr>
                <w:rFonts w:ascii="Calibri" w:hAnsi="Calibri"/>
                <w:sz w:val="18"/>
              </w:rPr>
              <w:t>≤ 5 min</w:t>
            </w:r>
          </w:p>
        </w:tc>
        <w:tc>
          <w:tcPr>
            <w:tcW w:type="dxa" w:w="3264"/>
          </w:tcPr>
          <w:p>
            <w:r/>
            <w:r>
              <w:rPr>
                <w:rFonts w:ascii="Calibri" w:hAnsi="Calibri"/>
                <w:sz w:val="18"/>
              </w:rPr>
              <w:t>Reset prep-time profile</w:t>
            </w:r>
          </w:p>
        </w:tc>
      </w:tr>
      <w:tr>
        <w:tc>
          <w:tcPr>
            <w:tcW w:type="dxa" w:w="3264"/>
          </w:tcPr>
          <w:p>
            <w:r/>
            <w:r>
              <w:rPr>
                <w:rFonts w:ascii="Calibri" w:hAnsi="Calibri"/>
                <w:sz w:val="18"/>
              </w:rPr>
              <w:t>Item issue rate</w:t>
            </w:r>
          </w:p>
        </w:tc>
        <w:tc>
          <w:tcPr>
            <w:tcW w:type="dxa" w:w="3264"/>
          </w:tcPr>
          <w:p>
            <w:r/>
            <w:r>
              <w:rPr>
                <w:rFonts w:ascii="Calibri" w:hAnsi="Calibri"/>
                <w:sz w:val="18"/>
              </w:rPr>
              <w:t>&lt; 2%</w:t>
            </w:r>
          </w:p>
        </w:tc>
        <w:tc>
          <w:tcPr>
            <w:tcW w:type="dxa" w:w="3264"/>
          </w:tcPr>
          <w:p>
            <w:r/>
            <w:r>
              <w:rPr>
                <w:rFonts w:ascii="Calibri" w:hAnsi="Calibri"/>
                <w:sz w:val="18"/>
              </w:rPr>
              <w:t>Menu / packing review</w:t>
            </w:r>
          </w:p>
        </w:tc>
      </w:tr>
      <w:tr>
        <w:tc>
          <w:tcPr>
            <w:tcW w:type="dxa" w:w="3264"/>
          </w:tcPr>
          <w:p>
            <w:r/>
            <w:r>
              <w:rPr>
                <w:rFonts w:ascii="Calibri" w:hAnsi="Calibri"/>
                <w:sz w:val="18"/>
              </w:rPr>
              <w:t>Customer rating</w:t>
            </w:r>
          </w:p>
        </w:tc>
        <w:tc>
          <w:tcPr>
            <w:tcW w:type="dxa" w:w="3264"/>
          </w:tcPr>
          <w:p>
            <w:r/>
            <w:r>
              <w:rPr>
                <w:rFonts w:ascii="Calibri" w:hAnsi="Calibri"/>
                <w:sz w:val="18"/>
              </w:rPr>
              <w:t>≥ 4.5 / 5</w:t>
            </w:r>
          </w:p>
        </w:tc>
        <w:tc>
          <w:tcPr>
            <w:tcW w:type="dxa" w:w="3264"/>
          </w:tcPr>
          <w:p>
            <w:r/>
            <w:r>
              <w:rPr>
                <w:rFonts w:ascii="Calibri" w:hAnsi="Calibri"/>
                <w:sz w:val="18"/>
              </w:rPr>
              <w:t>Quality review with Merchant</w:t>
            </w:r>
          </w:p>
        </w:tc>
      </w:tr>
    </w:tbl>
    <w:p>
      <w:pPr>
        <w:spacing w:after="40"/>
      </w:pPr>
    </w:p>
    <w:p>
      <w:pPr>
        <w:pStyle w:val="ListBullet"/>
        <w:spacing w:after="60"/>
      </w:pPr>
      <w:r>
        <w:rPr>
          <w:b/>
        </w:rPr>
        <w:t xml:space="preserve">Merchant duties. </w:t>
      </w:r>
      <w:r>
        <w:t>Maintain all licenses, permits, and health approvals required to operate a food establishment in Collin County and the State of Texas; prepare all food safely, accurately, and in accordance with the order; keep hours, contact information, and banking information current in writing; designate an on-site contact for order issues during ordering hours; and honor prices, promotions, and gift instruments Merchant has authorized for the platform.</w:t>
      </w:r>
    </w:p>
    <w:p>
      <w:pPr>
        <w:pStyle w:val="ListBullet"/>
        <w:spacing w:after="60"/>
      </w:pPr>
      <w:r>
        <w:rPr>
          <w:b/>
        </w:rPr>
        <w:t xml:space="preserve">SwyftBite duties. </w:t>
      </w:r>
      <w:r>
        <w:t>Operate the platform with reasonable care; maintain order and payment systems; provide onboarding and a named point of contact; give timely notice of planned platform changes that materially affect Merchant operations; and pay settlements as described in §7.</w:t>
      </w:r>
    </w:p>
    <w:p>
      <w:pPr>
        <w:pStyle w:val="ListBullet"/>
        <w:spacing w:after="60"/>
      </w:pPr>
      <w:r>
        <w:rPr>
          <w:b/>
        </w:rPr>
        <w:t xml:space="preserve">Pause switches. </w:t>
      </w:r>
      <w:r>
        <w:t>SwyftBite may pause ordering for a merchant, zone, or the marketplace where needed for food safety, payment integrity, severe weather, or system integrity. SwyftBite will notify affected merchants of the reason and expected duration as soon as practicable. A platform-initiated pause does not count against Merchant’s acceptance or prep-time standards.</w:t>
      </w:r>
    </w:p>
    <w:p>
      <w:pPr>
        <w:pStyle w:val="ListBullet"/>
        <w:spacing w:after="60"/>
      </w:pPr>
      <w:r>
        <w:rPr>
          <w:b/>
        </w:rPr>
        <w:t xml:space="preserve">No solicitation to bypass. </w:t>
      </w:r>
      <w:r>
        <w:t>Merchant will not solicit SwyftBite customers to bypass the platform for orders that originated on SwyftBite during the Term, except through Merchant’s general public marketing.</w:t>
      </w:r>
    </w:p>
    <w:p>
      <w:pPr>
        <w:pStyle w:val="Heading1"/>
      </w:pPr>
      <w:r>
        <w:t>9. Data, privacy, devices, and confidentiality</w:t>
      </w:r>
    </w:p>
    <w:p>
      <w:pPr>
        <w:spacing w:after="120"/>
      </w:pPr>
      <w:r>
        <w:rPr>
          <w:i w:val="0"/>
          <w:sz w:val="21"/>
        </w:rPr>
        <w:t>This section fits the bring-your-own-device model. Day-to-day handling of driver and customer information on Merchant’s own devices is supplemented by the Merchant Data Protection Addendum (BYOD edition), which does not expand Merchant’s duties beyond this section and §5.</w:t>
      </w:r>
    </w:p>
    <w:p>
      <w:pPr>
        <w:pStyle w:val="ListBullet"/>
        <w:spacing w:after="60"/>
      </w:pPr>
      <w:r>
        <w:rPr>
          <w:b/>
        </w:rPr>
        <w:t xml:space="preserve">Minimum-necessary sharing. </w:t>
      </w:r>
      <w:r>
        <w:t>SwyftBite will share with Merchant only the customer information needed to fulfill an order (such as first name, order details, and delivery instructions the customer provides for that order) and the assigned driver’s first name and order identifier needed for §5 verification. Merchant will use that information only to fulfill the order.</w:t>
      </w:r>
    </w:p>
    <w:p>
      <w:pPr>
        <w:pStyle w:val="ListBullet"/>
        <w:spacing w:after="60"/>
      </w:pPr>
      <w:r>
        <w:rPr>
          <w:b/>
        </w:rPr>
        <w:t xml:space="preserve">No biometric collection. </w:t>
      </w:r>
      <w:r>
        <w:t>SwyftBite does not collect, and Merchant will not collect or attempt to derive, biometric identifiers (including facial geometry or voice prints) from any order, driver, or customer interaction under these Terms. Driver verification is by order identifier and barcode only.</w:t>
      </w:r>
    </w:p>
    <w:p>
      <w:pPr>
        <w:pStyle w:val="ListBullet"/>
        <w:spacing w:after="60"/>
      </w:pPr>
      <w:r>
        <w:rPr>
          <w:b/>
        </w:rPr>
        <w:t xml:space="preserve">Ownership. </w:t>
      </w:r>
      <w:r>
        <w:t>Merchant owns its menu, recipes, and business data. SwyftBite owns the platform, dispatch systems, and aggregated, de-identified analytics. SwyftBite may use aggregated, de-identified data to operate and improve the marketplace.</w:t>
      </w:r>
    </w:p>
    <w:p>
      <w:pPr>
        <w:pStyle w:val="ListBullet"/>
        <w:spacing w:after="60"/>
      </w:pPr>
      <w:r>
        <w:rPr>
          <w:b/>
        </w:rPr>
        <w:t xml:space="preserve">Devices. </w:t>
      </w:r>
      <w:r>
        <w:t>Merchant is responsible for any device it uses to access the dashboard or app: keeping the operating system and SwyftBite app current, using a device lock, and permitting only authorized staff to use the merchant account. SwyftBite imposes no kiosk lockdown, screen-capture block, or proprietary-hardware configuration under these Terms.</w:t>
      </w:r>
    </w:p>
    <w:p>
      <w:pPr>
        <w:pStyle w:val="ListBullet"/>
        <w:spacing w:after="60"/>
      </w:pPr>
      <w:r>
        <w:rPr>
          <w:b/>
        </w:rPr>
        <w:t xml:space="preserve">Transport integrity. </w:t>
      </w:r>
      <w:r>
        <w:t>SwyftBite encrypts order traffic in transit (TLS) and integrity-signs order data between SwyftBite servers and the merchant and driver apps. Merchant will not bypass, disable, or interfere with that signing or with barcode/PIN verification.</w:t>
      </w:r>
    </w:p>
    <w:p>
      <w:pPr>
        <w:pStyle w:val="ListBullet"/>
        <w:spacing w:after="60"/>
      </w:pPr>
      <w:r>
        <w:rPr>
          <w:b/>
        </w:rPr>
        <w:t xml:space="preserve">Confidentiality and security. </w:t>
      </w:r>
      <w:r>
        <w:t>Each party will keep the other’s non-public business information confidential and use it only to perform under these Terms, using reasonable administrative and technical safeguards for personal information in its control. Pricing terms in §3 may be disclosed by Merchant to its advisors. Each party will notify the other promptly after confirming a breach affecting the other party’s data, and in any event within 24 hours after discovering loss, theft, or unauthorized access involving the merchant account credentials.</w:t>
      </w:r>
    </w:p>
    <w:p>
      <w:pPr>
        <w:pStyle w:val="Heading1"/>
      </w:pPr>
      <w:r>
        <w:t>10. Marketing, branding, and reviews</w:t>
      </w:r>
    </w:p>
    <w:p>
      <w:pPr>
        <w:pStyle w:val="ListBullet"/>
        <w:spacing w:after="60"/>
      </w:pPr>
      <w:r>
        <w:rPr>
          <w:b/>
        </w:rPr>
        <w:t xml:space="preserve">License to use marks. </w:t>
      </w:r>
      <w:r>
        <w:t>Each party grants the other a non-exclusive, royalty-free license to use its name and logo solely to identify the partnership and perform under these Terms. SwyftBite will follow Merchant’s reasonable brand guidelines provided in writing.</w:t>
      </w:r>
    </w:p>
    <w:p>
      <w:pPr>
        <w:pStyle w:val="ListBullet"/>
        <w:spacing w:after="60"/>
      </w:pPr>
      <w:r>
        <w:rPr>
          <w:b/>
        </w:rPr>
        <w:t xml:space="preserve">Photos and menu content. </w:t>
      </w:r>
      <w:r>
        <w:t>Merchant grants SwyftBite the right to display the menu, photos, and business information Merchant provides (or that SwyftBite creates at onboarding) on the platform and in partnership marketing. Merchant may substitute its own photos at any time.</w:t>
      </w:r>
    </w:p>
    <w:p>
      <w:pPr>
        <w:pStyle w:val="ListBullet"/>
        <w:spacing w:after="60"/>
      </w:pPr>
      <w:r>
        <w:rPr>
          <w:b/>
        </w:rPr>
        <w:t xml:space="preserve">Launch marketing. </w:t>
      </w:r>
      <w:r>
        <w:t>SwyftBite will include Merchant in launch announcements for its service cell, subject to Merchant approval of any quote attributed to Merchant or its owner.</w:t>
      </w:r>
    </w:p>
    <w:p>
      <w:pPr>
        <w:pStyle w:val="ListBullet"/>
        <w:spacing w:after="60"/>
      </w:pPr>
      <w:r>
        <w:rPr>
          <w:b/>
        </w:rPr>
        <w:t xml:space="preserve">Reviews. </w:t>
      </w:r>
      <w:r>
        <w:t>Customer reviews belong to the platform experience. SwyftBite will not edit a review’s substance, and Merchant may respond to reviews through the dashboard. SwyftBite may remove reviews that violate its content policies.</w:t>
      </w:r>
    </w:p>
    <w:p>
      <w:pPr>
        <w:pStyle w:val="Heading1"/>
      </w:pPr>
      <w:r>
        <w:t>11. Term and termination</w:t>
      </w:r>
    </w:p>
    <w:p>
      <w:pPr>
        <w:pStyle w:val="ListBullet"/>
        <w:spacing w:after="60"/>
      </w:pPr>
      <w:r>
        <w:rPr>
          <w:b/>
        </w:rPr>
        <w:t xml:space="preserve">Initial Term. </w:t>
      </w:r>
      <w:r>
        <w:t>Twelve (12) months from the Effective Date in Exhibit A, unless terminated earlier under this section.</w:t>
      </w:r>
    </w:p>
    <w:p>
      <w:pPr>
        <w:pStyle w:val="ListBullet"/>
        <w:spacing w:after="60"/>
      </w:pPr>
      <w:r>
        <w:rPr>
          <w:b/>
        </w:rPr>
        <w:t xml:space="preserve">Renewal. </w:t>
      </w:r>
      <w:r>
        <w:t>After the Initial Term, these Terms renew month-to-month on the same terms, including the §3 commission cap then in effect by written amendment, if any.</w:t>
      </w:r>
    </w:p>
    <w:p>
      <w:pPr>
        <w:pStyle w:val="ListBullet"/>
        <w:spacing w:after="60"/>
      </w:pPr>
      <w:r>
        <w:rPr>
          <w:b/>
        </w:rPr>
        <w:t xml:space="preserve">Termination for convenience. </w:t>
      </w:r>
      <w:r>
        <w:t>After the first ninety (90) days, either party may terminate for any reason on thirty (30) days’ written notice.</w:t>
      </w:r>
    </w:p>
    <w:p>
      <w:pPr>
        <w:pStyle w:val="ListBullet"/>
        <w:spacing w:after="60"/>
      </w:pPr>
      <w:r>
        <w:rPr>
          <w:b/>
        </w:rPr>
        <w:t xml:space="preserve">Termination for cause. </w:t>
      </w:r>
      <w:r>
        <w:t>Either party may terminate immediately on written notice if the other party materially breaches these Terms and does not cure within fourteen (14) days after notice (or within forty-eight (48) hours for a food-safety breach). SwyftBite may suspend ordering immediately, without prior cure, only where necessary to address an imminent food-safety risk, payment fraud, or deliberate bypass of §§5–6 verification, and will give notice and an opportunity to cure as soon as the risk is contained.</w:t>
      </w:r>
    </w:p>
    <w:p>
      <w:pPr>
        <w:pStyle w:val="ListBullet"/>
        <w:spacing w:after="60"/>
      </w:pPr>
      <w:r>
        <w:rPr>
          <w:b/>
        </w:rPr>
        <w:t xml:space="preserve">Effect of termination. </w:t>
      </w:r>
      <w:r>
        <w:t>SwyftBite will remove Merchant’s listing at the end of the notice period, complete in-flight orders, and pay all amounts owed through the termination date in the next settlement cycle under §7.</w:t>
      </w:r>
    </w:p>
    <w:p>
      <w:pPr>
        <w:pStyle w:val="Heading1"/>
      </w:pPr>
      <w:r>
        <w:t>12. Liability, indemnification, and insurance</w:t>
      </w:r>
    </w:p>
    <w:p>
      <w:pPr>
        <w:pStyle w:val="ListBullet"/>
        <w:spacing w:after="60"/>
      </w:pPr>
      <w:r>
        <w:rPr>
          <w:b/>
        </w:rPr>
        <w:t xml:space="preserve">Mutual indemnity. </w:t>
      </w:r>
      <w:r>
        <w:t>Each party will indemnify the other against third-party claims, losses, and reasonable attorneys’ fees arising from its own negligence, willful misconduct, breach of these Terms, or violation of law.</w:t>
      </w:r>
    </w:p>
    <w:p>
      <w:pPr>
        <w:pStyle w:val="ListBullet"/>
        <w:spacing w:after="60"/>
      </w:pPr>
      <w:r>
        <w:rPr>
          <w:b/>
        </w:rPr>
        <w:t xml:space="preserve">Limitation of liability. </w:t>
      </w:r>
      <w:r>
        <w:t>Except for indemnity obligations, amounts payable to third parties, or willful misconduct, neither party is liable for indirect, incidental, or consequential damages, and each party’s aggregate liability under these Terms is capped at the commissions actually paid or payable to SwyftBite in the six months preceding the claim (or, if no commissions have yet been paid, $1,000).</w:t>
      </w:r>
    </w:p>
    <w:p>
      <w:pPr>
        <w:pStyle w:val="ListBullet"/>
        <w:spacing w:after="60"/>
      </w:pPr>
      <w:r>
        <w:rPr>
          <w:b/>
        </w:rPr>
        <w:t xml:space="preserve">Insurance. </w:t>
      </w:r>
      <w:r>
        <w:t>Merchant will maintain commercial general liability insurance customary for a restaurant of its type. SwyftBite will maintain insurance customary for a delivery marketplace. Each party will provide a certificate of insurance on reasonable request.</w:t>
      </w:r>
    </w:p>
    <w:p>
      <w:pPr>
        <w:pStyle w:val="ListBullet"/>
        <w:spacing w:after="60"/>
      </w:pPr>
      <w:r>
        <w:rPr>
          <w:b/>
        </w:rPr>
        <w:t xml:space="preserve">Food safety. </w:t>
      </w:r>
      <w:r>
        <w:t>Nothing in this section limits Merchant’s responsibility for the safety and quality of the food it prepares.</w:t>
      </w:r>
    </w:p>
    <w:p>
      <w:pPr>
        <w:pStyle w:val="Heading1"/>
      </w:pPr>
      <w:r>
        <w:t>13. Dispute resolution and governing law</w:t>
      </w:r>
    </w:p>
    <w:p>
      <w:pPr>
        <w:pStyle w:val="ListBullet"/>
        <w:spacing w:after="60"/>
      </w:pPr>
      <w:r>
        <w:rPr>
          <w:b/>
        </w:rPr>
        <w:t xml:space="preserve">Good-faith discussion first. </w:t>
      </w:r>
      <w:r>
        <w:t>The parties will attempt to resolve any dispute through discussion between Merchant’s owner (or manager) and SwyftBite’s contact in §14 for fourteen (14) days after written notice of the dispute.</w:t>
      </w:r>
    </w:p>
    <w:p>
      <w:pPr>
        <w:pStyle w:val="ListBullet"/>
        <w:spacing w:after="60"/>
      </w:pPr>
      <w:r>
        <w:rPr>
          <w:b/>
        </w:rPr>
        <w:t xml:space="preserve">Mediation, then court. </w:t>
      </w:r>
      <w:r>
        <w:t>If discussion does not resolve it, the parties will attempt mediation in Collin County, Texas, administered by a mutually agreed mediator, before filing suit, except that either party may seek interim relief necessary to protect food safety, payment integrity, or confidential information.</w:t>
      </w:r>
    </w:p>
    <w:p>
      <w:pPr>
        <w:pStyle w:val="ListBullet"/>
        <w:spacing w:after="60"/>
      </w:pPr>
      <w:r>
        <w:rPr>
          <w:b/>
        </w:rPr>
        <w:t xml:space="preserve">Governing law and venue. </w:t>
      </w:r>
      <w:r>
        <w:t>Texas law governs these Terms. Exclusive venue for any suit is in the state or federal courts located in Collin County, Texas, and the parties consent to personal jurisdiction there.</w:t>
      </w:r>
    </w:p>
    <w:p>
      <w:pPr>
        <w:pStyle w:val="ListBullet"/>
        <w:spacing w:after="60"/>
      </w:pPr>
      <w:r>
        <w:rPr>
          <w:b/>
        </w:rPr>
        <w:t xml:space="preserve">Small claims preserved. </w:t>
      </w:r>
      <w:r>
        <w:t>Nothing in this section limits a party’s right to pursue an individual claim in small-claims court in Collin County where that court has jurisdiction.</w:t>
      </w:r>
    </w:p>
    <w:p>
      <w:pPr>
        <w:pStyle w:val="Heading1"/>
      </w:pPr>
      <w:r>
        <w:t>14. General provisions</w:t>
      </w:r>
    </w:p>
    <w:p>
      <w:pPr>
        <w:pStyle w:val="ListBullet"/>
        <w:spacing w:after="60"/>
      </w:pPr>
      <w:r>
        <w:rPr>
          <w:b/>
        </w:rPr>
        <w:t xml:space="preserve">Entire agreement. </w:t>
      </w:r>
      <w:r>
        <w:t>These Terms, the Merchant Partner Agreement (including Exhibit A), and the Addenda together are the entire agreement between the parties about the SwyftBite marketplace and supersede prior discussions about it.</w:t>
      </w:r>
    </w:p>
    <w:p>
      <w:pPr>
        <w:pStyle w:val="ListBullet"/>
        <w:spacing w:after="60"/>
      </w:pPr>
      <w:r>
        <w:rPr>
          <w:b/>
        </w:rPr>
        <w:t xml:space="preserve">Amendments. </w:t>
      </w:r>
      <w:r>
        <w:t>An amendment is effective only if in writing and signed (including by electronic signature) by both parties. SwyftBite will not change §3 pricing by posting new terms alone (see §1.4).</w:t>
      </w:r>
    </w:p>
    <w:p>
      <w:pPr>
        <w:pStyle w:val="ListBullet"/>
        <w:spacing w:after="60"/>
      </w:pPr>
      <w:r>
        <w:rPr>
          <w:b/>
        </w:rPr>
        <w:t xml:space="preserve">Notices. </w:t>
      </w:r>
      <w:r>
        <w:t>Notices must be in writing to the addresses in Exhibit A. Notices to SwyftBite go to: SwyftBite, Attn: Celia Bartram, celia@swyftbite.com. Phone coordination: 972-464-6300 (phone alone is not written notice). Email notice is effective on confirmed receipt.</w:t>
      </w:r>
    </w:p>
    <w:p>
      <w:pPr>
        <w:pStyle w:val="ListBullet"/>
        <w:spacing w:after="60"/>
      </w:pPr>
      <w:r>
        <w:rPr>
          <w:b/>
        </w:rPr>
        <w:t xml:space="preserve">Assignment. </w:t>
      </w:r>
      <w:r>
        <w:t>Merchant may not assign these Terms without SwyftBite’s written consent, except to a buyer of substantially all of Merchant’s business who assumes these Terms in writing. SwyftBite may assign these Terms without consent to its limited liability company successor upon formation, or to a successor in connection with a sale of all or substantially all of its business, provided the assignee assumes these Terms in writing and the §3 commission cap travels with the assignment during the Initial Term.</w:t>
      </w:r>
    </w:p>
    <w:p>
      <w:pPr>
        <w:pStyle w:val="ListBullet"/>
        <w:spacing w:after="60"/>
      </w:pPr>
      <w:r>
        <w:rPr>
          <w:b/>
        </w:rPr>
        <w:t xml:space="preserve">Independent contractors. </w:t>
      </w:r>
      <w:r>
        <w:t>The parties are independent contractors. Nothing here creates a partnership, joint venture, franchise, agency, or employment relationship. Drivers are independent contractors, not employees of SwyftBite or Merchant.</w:t>
      </w:r>
    </w:p>
    <w:p>
      <w:pPr>
        <w:pStyle w:val="ListBullet"/>
        <w:spacing w:after="60"/>
      </w:pPr>
      <w:r>
        <w:rPr>
          <w:b/>
        </w:rPr>
        <w:t xml:space="preserve">Severability; waiver. </w:t>
      </w:r>
      <w:r>
        <w:t>If a provision is held unenforceable, the rest continues in effect. A waiver of one breach is not a waiver of another.</w:t>
      </w:r>
    </w:p>
    <w:p>
      <w:pPr>
        <w:pStyle w:val="ListBullet"/>
        <w:spacing w:after="60"/>
      </w:pPr>
      <w:r>
        <w:rPr>
          <w:b/>
        </w:rPr>
        <w:t xml:space="preserve">Counterparts; e-signature. </w:t>
      </w:r>
      <w:r>
        <w:t>These Terms may be signed in counterparts, and electronic or PDF signatures count as originals.</w:t>
      </w:r>
    </w:p>
    <w:p>
      <w:pPr>
        <w:pStyle w:val="ListBullet"/>
        <w:spacing w:after="60"/>
      </w:pPr>
      <w:r>
        <w:rPr>
          <w:b/>
        </w:rPr>
        <w:t xml:space="preserve">Business-status note. </w:t>
      </w:r>
      <w:r>
        <w:t>Merchant acknowledges that SwyftBite is pre-launch and operating in Collin County, Texas. Merchant is encouraged to have its advisor review these Terms. SwyftBite recommends review by a Texas business attorney before first use.</w:t>
      </w:r>
    </w:p>
    <w:p>
      <w:pPr>
        <w:pStyle w:val="Heading1"/>
      </w:pPr>
      <w:r>
        <w:t>Acceptance and signatures</w:t>
      </w:r>
    </w:p>
    <w:p>
      <w:pPr>
        <w:spacing w:after="120"/>
      </w:pPr>
      <w:r>
        <w:rPr>
          <w:i w:val="0"/>
          <w:sz w:val="21"/>
        </w:rPr>
        <w:t>By signing below (including by electronic acceptance referencing these Terms), each party agrees to these Terms, including the 15% commission cap in §3 and the $2.49 consumer service fee treatment in §3.2. The Merchant signer represents that they are authorized to bind Merchant.</w:t>
      </w:r>
    </w:p>
    <w:tbl>
      <w:tblPr>
        <w:tblStyle w:val="TableGrid"/>
        <w:tblW w:type="auto" w:w="0"/>
        <w:jc w:val="center"/>
        <w:tblLayout w:type="autofit"/>
        <w:tblLook w:firstColumn="1" w:firstRow="1" w:lastColumn="0" w:lastRow="0" w:noHBand="0" w:noVBand="1" w:val="04A0"/>
      </w:tblPr>
      <w:tblGrid>
        <w:gridCol w:w="3264"/>
        <w:gridCol w:w="3264"/>
        <w:gridCol w:w="3264"/>
      </w:tblGrid>
      <w:tr>
        <w:trPr>
          <w:tblHeader w:val="true"/>
        </w:trPr>
        <w:tc>
          <w:tcPr>
            <w:tcW w:type="dxa" w:w="3264"/>
            <w:shd w:fill="0F2A44"/>
          </w:tcPr>
          <w:p>
            <w:r/>
            <w:r>
              <w:rPr>
                <w:rFonts w:ascii="Calibri" w:hAnsi="Calibri"/>
                <w:b/>
                <w:color w:val="FFFFFF"/>
                <w:sz w:val="18"/>
              </w:rPr>
            </w:r>
          </w:p>
        </w:tc>
        <w:tc>
          <w:tcPr>
            <w:tcW w:type="dxa" w:w="3264"/>
            <w:shd w:fill="0F2A44"/>
          </w:tcPr>
          <w:p>
            <w:r/>
            <w:r>
              <w:rPr>
                <w:rFonts w:ascii="Calibri" w:hAnsi="Calibri"/>
                <w:b/>
                <w:color w:val="FFFFFF"/>
                <w:sz w:val="18"/>
              </w:rPr>
              <w:t>SwyftBite</w:t>
            </w:r>
          </w:p>
        </w:tc>
        <w:tc>
          <w:tcPr>
            <w:tcW w:type="dxa" w:w="3264"/>
            <w:shd w:fill="0F2A44"/>
          </w:tcPr>
          <w:p>
            <w:r/>
            <w:r>
              <w:rPr>
                <w:rFonts w:ascii="Calibri" w:hAnsi="Calibri"/>
                <w:b/>
                <w:color w:val="FFFFFF"/>
                <w:sz w:val="18"/>
              </w:rPr>
              <w:t>Merchant</w:t>
            </w:r>
          </w:p>
        </w:tc>
      </w:tr>
      <w:tr>
        <w:tc>
          <w:tcPr>
            <w:tcW w:type="dxa" w:w="3264"/>
          </w:tcPr>
          <w:p>
            <w:r/>
            <w:r>
              <w:rPr>
                <w:rFonts w:ascii="Calibri" w:hAnsi="Calibri"/>
                <w:sz w:val="18"/>
              </w:rPr>
              <w:t>Signature</w:t>
            </w:r>
          </w:p>
        </w:tc>
        <w:tc>
          <w:tcPr>
            <w:tcW w:type="dxa" w:w="3264"/>
          </w:tcPr>
          <w:p>
            <w:r/>
            <w:r>
              <w:rPr>
                <w:rFonts w:ascii="Calibri" w:hAnsi="Calibri"/>
                <w:sz w:val="18"/>
              </w:rPr>
              <w:t>___________________________________</w:t>
            </w:r>
          </w:p>
        </w:tc>
        <w:tc>
          <w:tcPr>
            <w:tcW w:type="dxa" w:w="3264"/>
          </w:tcPr>
          <w:p>
            <w:r/>
            <w:r>
              <w:rPr>
                <w:rFonts w:ascii="Calibri" w:hAnsi="Calibri"/>
                <w:sz w:val="18"/>
              </w:rPr>
              <w:t>___________________________________</w:t>
            </w:r>
          </w:p>
        </w:tc>
      </w:tr>
      <w:tr>
        <w:tc>
          <w:tcPr>
            <w:tcW w:type="dxa" w:w="3264"/>
          </w:tcPr>
          <w:p>
            <w:r/>
            <w:r>
              <w:rPr>
                <w:rFonts w:ascii="Calibri" w:hAnsi="Calibri"/>
                <w:sz w:val="18"/>
              </w:rPr>
              <w:t>Print name</w:t>
            </w:r>
          </w:p>
        </w:tc>
        <w:tc>
          <w:tcPr>
            <w:tcW w:type="dxa" w:w="3264"/>
          </w:tcPr>
          <w:p>
            <w:r/>
            <w:r>
              <w:rPr>
                <w:rFonts w:ascii="Calibri" w:hAnsi="Calibri"/>
                <w:sz w:val="18"/>
              </w:rPr>
              <w:t>Celia Bartram</w:t>
            </w:r>
          </w:p>
        </w:tc>
        <w:tc>
          <w:tcPr>
            <w:tcW w:type="dxa" w:w="3264"/>
          </w:tcPr>
          <w:p>
            <w:r/>
            <w:r>
              <w:rPr>
                <w:rFonts w:ascii="Calibri" w:hAnsi="Calibri"/>
                <w:sz w:val="18"/>
              </w:rPr>
              <w:t>___________________________________</w:t>
            </w:r>
          </w:p>
        </w:tc>
      </w:tr>
      <w:tr>
        <w:tc>
          <w:tcPr>
            <w:tcW w:type="dxa" w:w="3264"/>
          </w:tcPr>
          <w:p>
            <w:r/>
            <w:r>
              <w:rPr>
                <w:rFonts w:ascii="Calibri" w:hAnsi="Calibri"/>
                <w:sz w:val="18"/>
              </w:rPr>
              <w:t>Title</w:t>
            </w:r>
          </w:p>
        </w:tc>
        <w:tc>
          <w:tcPr>
            <w:tcW w:type="dxa" w:w="3264"/>
          </w:tcPr>
          <w:p>
            <w:r/>
            <w:r>
              <w:rPr>
                <w:rFonts w:ascii="Calibri" w:hAnsi="Calibri"/>
                <w:sz w:val="18"/>
              </w:rPr>
              <w:t>Founder / Owner</w:t>
            </w:r>
          </w:p>
        </w:tc>
        <w:tc>
          <w:tcPr>
            <w:tcW w:type="dxa" w:w="3264"/>
          </w:tcPr>
          <w:p>
            <w:r/>
            <w:r>
              <w:rPr>
                <w:rFonts w:ascii="Calibri" w:hAnsi="Calibri"/>
                <w:sz w:val="18"/>
              </w:rPr>
              <w:t>___________________________________</w:t>
            </w:r>
          </w:p>
        </w:tc>
      </w:tr>
      <w:tr>
        <w:tc>
          <w:tcPr>
            <w:tcW w:type="dxa" w:w="3264"/>
          </w:tcPr>
          <w:p>
            <w:r/>
            <w:r>
              <w:rPr>
                <w:rFonts w:ascii="Calibri" w:hAnsi="Calibri"/>
                <w:sz w:val="18"/>
              </w:rPr>
              <w:t>Phone</w:t>
            </w:r>
          </w:p>
        </w:tc>
        <w:tc>
          <w:tcPr>
            <w:tcW w:type="dxa" w:w="3264"/>
          </w:tcPr>
          <w:p>
            <w:r/>
            <w:r>
              <w:rPr>
                <w:rFonts w:ascii="Calibri" w:hAnsi="Calibri"/>
                <w:sz w:val="18"/>
              </w:rPr>
              <w:t>972-464-6300</w:t>
            </w:r>
          </w:p>
        </w:tc>
        <w:tc>
          <w:tcPr>
            <w:tcW w:type="dxa" w:w="3264"/>
          </w:tcPr>
          <w:p>
            <w:r/>
            <w:r>
              <w:rPr>
                <w:rFonts w:ascii="Calibri" w:hAnsi="Calibri"/>
                <w:sz w:val="18"/>
              </w:rPr>
              <w:t>___________________________________</w:t>
            </w:r>
          </w:p>
        </w:tc>
      </w:tr>
      <w:tr>
        <w:tc>
          <w:tcPr>
            <w:tcW w:type="dxa" w:w="3264"/>
          </w:tcPr>
          <w:p>
            <w:r/>
            <w:r>
              <w:rPr>
                <w:rFonts w:ascii="Calibri" w:hAnsi="Calibri"/>
                <w:sz w:val="18"/>
              </w:rPr>
              <w:t>Email</w:t>
            </w:r>
          </w:p>
        </w:tc>
        <w:tc>
          <w:tcPr>
            <w:tcW w:type="dxa" w:w="3264"/>
          </w:tcPr>
          <w:p>
            <w:r/>
            <w:r>
              <w:rPr>
                <w:rFonts w:ascii="Calibri" w:hAnsi="Calibri"/>
                <w:sz w:val="18"/>
              </w:rPr>
              <w:t>celia@swyftbite.com</w:t>
            </w:r>
          </w:p>
        </w:tc>
        <w:tc>
          <w:tcPr>
            <w:tcW w:type="dxa" w:w="3264"/>
          </w:tcPr>
          <w:p>
            <w:r/>
            <w:r>
              <w:rPr>
                <w:rFonts w:ascii="Calibri" w:hAnsi="Calibri"/>
                <w:sz w:val="18"/>
              </w:rPr>
              <w:t>___________________________________</w:t>
            </w:r>
          </w:p>
        </w:tc>
      </w:tr>
      <w:tr>
        <w:tc>
          <w:tcPr>
            <w:tcW w:type="dxa" w:w="3264"/>
          </w:tcPr>
          <w:p>
            <w:r/>
            <w:r>
              <w:rPr>
                <w:rFonts w:ascii="Calibri" w:hAnsi="Calibri"/>
                <w:sz w:val="18"/>
              </w:rPr>
              <w:t>Date</w:t>
            </w:r>
          </w:p>
        </w:tc>
        <w:tc>
          <w:tcPr>
            <w:tcW w:type="dxa" w:w="3264"/>
          </w:tcPr>
          <w:p>
            <w:r/>
            <w:r>
              <w:rPr>
                <w:rFonts w:ascii="Calibri" w:hAnsi="Calibri"/>
                <w:sz w:val="18"/>
              </w:rPr>
              <w:t>___________________________________</w:t>
            </w:r>
          </w:p>
        </w:tc>
        <w:tc>
          <w:tcPr>
            <w:tcW w:type="dxa" w:w="3264"/>
          </w:tcPr>
          <w:p>
            <w:r/>
            <w:r>
              <w:rPr>
                <w:rFonts w:ascii="Calibri" w:hAnsi="Calibri"/>
                <w:sz w:val="18"/>
              </w:rPr>
              <w:t>___________________________________</w:t>
            </w:r>
          </w:p>
        </w:tc>
      </w:tr>
    </w:tbl>
    <w:p>
      <w:pPr>
        <w:spacing w:after="40"/>
      </w:pPr>
    </w:p>
    <w:p>
      <w:pPr>
        <w:pStyle w:val="Heading1"/>
      </w:pPr>
      <w:r>
        <w:t>Exhibit A — Merchant information, commercial terms &amp; contacts</w:t>
      </w:r>
    </w:p>
    <w:p>
      <w:pPr>
        <w:spacing w:after="120"/>
      </w:pPr>
      <w:r>
        <w:rPr>
          <w:i w:val="0"/>
          <w:sz w:val="21"/>
        </w:rPr>
        <w:t>Complete this Exhibit for each location. Attach additional Exhibit A pages for additional locations under the same ownership.</w:t>
      </w:r>
    </w:p>
    <w:tbl>
      <w:tblPr>
        <w:tblStyle w:val="TableGrid"/>
        <w:tblW w:type="auto" w:w="0"/>
        <w:jc w:val="center"/>
        <w:tblLayout w:type="autofit"/>
        <w:tblLook w:firstColumn="1" w:firstRow="1" w:lastColumn="0" w:lastRow="0" w:noHBand="0" w:noVBand="1" w:val="04A0"/>
      </w:tblPr>
      <w:tblGrid>
        <w:gridCol w:w="4896"/>
        <w:gridCol w:w="4896"/>
      </w:tblGrid>
      <w:tr>
        <w:trPr>
          <w:tblHeader w:val="true"/>
        </w:trPr>
        <w:tc>
          <w:tcPr>
            <w:tcW w:type="dxa" w:w="4896"/>
            <w:shd w:fill="0F2A44"/>
          </w:tcPr>
          <w:p>
            <w:r/>
            <w:r>
              <w:rPr>
                <w:rFonts w:ascii="Calibri" w:hAnsi="Calibri"/>
                <w:b/>
                <w:color w:val="FFFFFF"/>
                <w:sz w:val="18"/>
              </w:rPr>
              <w:t>Field</w:t>
            </w:r>
          </w:p>
        </w:tc>
        <w:tc>
          <w:tcPr>
            <w:tcW w:type="dxa" w:w="4896"/>
            <w:shd w:fill="0F2A44"/>
          </w:tcPr>
          <w:p>
            <w:r/>
            <w:r>
              <w:rPr>
                <w:rFonts w:ascii="Calibri" w:hAnsi="Calibri"/>
                <w:b/>
                <w:color w:val="FFFFFF"/>
                <w:sz w:val="18"/>
              </w:rPr>
              <w:t>Merchant to complete</w:t>
            </w:r>
          </w:p>
        </w:tc>
      </w:tr>
      <w:tr>
        <w:tc>
          <w:tcPr>
            <w:tcW w:type="dxa" w:w="4896"/>
          </w:tcPr>
          <w:p>
            <w:r/>
            <w:r>
              <w:rPr>
                <w:rFonts w:ascii="Calibri" w:hAnsi="Calibri"/>
                <w:sz w:val="18"/>
              </w:rPr>
              <w:t>Merchant legal name</w:t>
            </w:r>
          </w:p>
        </w:tc>
        <w:tc>
          <w:tcPr>
            <w:tcW w:type="dxa" w:w="4896"/>
          </w:tcPr>
          <w:p>
            <w:r/>
            <w:r>
              <w:rPr>
                <w:rFonts w:ascii="Calibri" w:hAnsi="Calibri"/>
                <w:sz w:val="18"/>
              </w:rPr>
              <w:t>______________________________________________</w:t>
            </w:r>
          </w:p>
        </w:tc>
      </w:tr>
      <w:tr>
        <w:tc>
          <w:tcPr>
            <w:tcW w:type="dxa" w:w="4896"/>
          </w:tcPr>
          <w:p>
            <w:r/>
            <w:r>
              <w:rPr>
                <w:rFonts w:ascii="Calibri" w:hAnsi="Calibri"/>
                <w:sz w:val="18"/>
              </w:rPr>
              <w:t>DBA / restaurant name (as shown to customers)</w:t>
            </w:r>
          </w:p>
        </w:tc>
        <w:tc>
          <w:tcPr>
            <w:tcW w:type="dxa" w:w="4896"/>
          </w:tcPr>
          <w:p>
            <w:r/>
            <w:r>
              <w:rPr>
                <w:rFonts w:ascii="Calibri" w:hAnsi="Calibri"/>
                <w:sz w:val="18"/>
              </w:rPr>
              <w:t>______________________________________________</w:t>
            </w:r>
          </w:p>
        </w:tc>
      </w:tr>
      <w:tr>
        <w:tc>
          <w:tcPr>
            <w:tcW w:type="dxa" w:w="4896"/>
          </w:tcPr>
          <w:p>
            <w:r/>
            <w:r>
              <w:rPr>
                <w:rFonts w:ascii="Calibri" w:hAnsi="Calibri"/>
                <w:sz w:val="18"/>
              </w:rPr>
              <w:t>Location address</w:t>
            </w:r>
          </w:p>
        </w:tc>
        <w:tc>
          <w:tcPr>
            <w:tcW w:type="dxa" w:w="4896"/>
          </w:tcPr>
          <w:p>
            <w:r/>
            <w:r>
              <w:rPr>
                <w:rFonts w:ascii="Calibri" w:hAnsi="Calibri"/>
                <w:sz w:val="18"/>
              </w:rPr>
              <w:t>______________________________________________</w:t>
            </w:r>
          </w:p>
        </w:tc>
      </w:tr>
      <w:tr>
        <w:tc>
          <w:tcPr>
            <w:tcW w:type="dxa" w:w="4896"/>
          </w:tcPr>
          <w:p>
            <w:r/>
            <w:r>
              <w:rPr>
                <w:rFonts w:ascii="Calibri" w:hAnsi="Calibri"/>
                <w:sz w:val="18"/>
              </w:rPr>
              <w:t>City / ZIP (Collin County)</w:t>
            </w:r>
          </w:p>
        </w:tc>
        <w:tc>
          <w:tcPr>
            <w:tcW w:type="dxa" w:w="4896"/>
          </w:tcPr>
          <w:p>
            <w:r/>
            <w:r>
              <w:rPr>
                <w:rFonts w:ascii="Calibri" w:hAnsi="Calibri"/>
                <w:sz w:val="18"/>
              </w:rPr>
              <w:t>______________________________________________</w:t>
            </w:r>
          </w:p>
        </w:tc>
      </w:tr>
      <w:tr>
        <w:tc>
          <w:tcPr>
            <w:tcW w:type="dxa" w:w="4896"/>
          </w:tcPr>
          <w:p>
            <w:r/>
            <w:r>
              <w:rPr>
                <w:rFonts w:ascii="Calibri" w:hAnsi="Calibri"/>
                <w:sz w:val="18"/>
              </w:rPr>
              <w:t>Location phone</w:t>
            </w:r>
          </w:p>
        </w:tc>
        <w:tc>
          <w:tcPr>
            <w:tcW w:type="dxa" w:w="4896"/>
          </w:tcPr>
          <w:p>
            <w:r/>
            <w:r>
              <w:rPr>
                <w:rFonts w:ascii="Calibri" w:hAnsi="Calibri"/>
                <w:sz w:val="18"/>
              </w:rPr>
              <w:t>______________________________________________</w:t>
            </w:r>
          </w:p>
        </w:tc>
      </w:tr>
      <w:tr>
        <w:tc>
          <w:tcPr>
            <w:tcW w:type="dxa" w:w="4896"/>
          </w:tcPr>
          <w:p>
            <w:r/>
            <w:r>
              <w:rPr>
                <w:rFonts w:ascii="Calibri" w:hAnsi="Calibri"/>
                <w:sz w:val="18"/>
              </w:rPr>
              <w:t>Owner / authorized signer (print name &amp; title)</w:t>
            </w:r>
          </w:p>
        </w:tc>
        <w:tc>
          <w:tcPr>
            <w:tcW w:type="dxa" w:w="4896"/>
          </w:tcPr>
          <w:p>
            <w:r/>
            <w:r>
              <w:rPr>
                <w:rFonts w:ascii="Calibri" w:hAnsi="Calibri"/>
                <w:sz w:val="18"/>
              </w:rPr>
              <w:t>______________________________________________</w:t>
            </w:r>
          </w:p>
        </w:tc>
      </w:tr>
      <w:tr>
        <w:tc>
          <w:tcPr>
            <w:tcW w:type="dxa" w:w="4896"/>
          </w:tcPr>
          <w:p>
            <w:r/>
            <w:r>
              <w:rPr>
                <w:rFonts w:ascii="Calibri" w:hAnsi="Calibri"/>
                <w:sz w:val="18"/>
              </w:rPr>
              <w:t>Owner email (billing &amp; notices)</w:t>
            </w:r>
          </w:p>
        </w:tc>
        <w:tc>
          <w:tcPr>
            <w:tcW w:type="dxa" w:w="4896"/>
          </w:tcPr>
          <w:p>
            <w:r/>
            <w:r>
              <w:rPr>
                <w:rFonts w:ascii="Calibri" w:hAnsi="Calibri"/>
                <w:sz w:val="18"/>
              </w:rPr>
              <w:t>______________________________________________</w:t>
            </w:r>
          </w:p>
        </w:tc>
      </w:tr>
      <w:tr>
        <w:tc>
          <w:tcPr>
            <w:tcW w:type="dxa" w:w="4896"/>
          </w:tcPr>
          <w:p>
            <w:r/>
            <w:r>
              <w:rPr>
                <w:rFonts w:ascii="Calibri" w:hAnsi="Calibri"/>
                <w:sz w:val="18"/>
              </w:rPr>
              <w:t>On-site order contact &amp; phone (launch hours)</w:t>
            </w:r>
          </w:p>
        </w:tc>
        <w:tc>
          <w:tcPr>
            <w:tcW w:type="dxa" w:w="4896"/>
          </w:tcPr>
          <w:p>
            <w:r/>
            <w:r>
              <w:rPr>
                <w:rFonts w:ascii="Calibri" w:hAnsi="Calibri"/>
                <w:sz w:val="18"/>
              </w:rPr>
              <w:t>______________________________________________</w:t>
            </w:r>
          </w:p>
        </w:tc>
      </w:tr>
      <w:tr>
        <w:tc>
          <w:tcPr>
            <w:tcW w:type="dxa" w:w="4896"/>
          </w:tcPr>
          <w:p>
            <w:r/>
            <w:r>
              <w:rPr>
                <w:rFonts w:ascii="Calibri" w:hAnsi="Calibri"/>
                <w:sz w:val="18"/>
              </w:rPr>
              <w:t>Bank / ACH (provided separately via secure form)</w:t>
            </w:r>
          </w:p>
        </w:tc>
        <w:tc>
          <w:tcPr>
            <w:tcW w:type="dxa" w:w="4896"/>
          </w:tcPr>
          <w:p>
            <w:r/>
            <w:r>
              <w:rPr>
                <w:rFonts w:ascii="Calibri" w:hAnsi="Calibri"/>
                <w:sz w:val="18"/>
              </w:rPr>
              <w:t>☐ Provided   ☐ To follow before first settlement</w:t>
            </w:r>
          </w:p>
        </w:tc>
      </w:tr>
      <w:tr>
        <w:tc>
          <w:tcPr>
            <w:tcW w:type="dxa" w:w="4896"/>
          </w:tcPr>
          <w:p>
            <w:r/>
            <w:r>
              <w:rPr>
                <w:rFonts w:ascii="Calibri" w:hAnsi="Calibri"/>
                <w:sz w:val="18"/>
              </w:rPr>
              <w:t>Ordering hours &amp; prep-time default</w:t>
            </w:r>
          </w:p>
        </w:tc>
        <w:tc>
          <w:tcPr>
            <w:tcW w:type="dxa" w:w="4896"/>
          </w:tcPr>
          <w:p>
            <w:r/>
            <w:r>
              <w:rPr>
                <w:rFonts w:ascii="Calibri" w:hAnsi="Calibri"/>
                <w:sz w:val="18"/>
              </w:rPr>
              <w:t>______________________________________________</w:t>
            </w:r>
          </w:p>
        </w:tc>
      </w:tr>
      <w:tr>
        <w:tc>
          <w:tcPr>
            <w:tcW w:type="dxa" w:w="4896"/>
          </w:tcPr>
          <w:p>
            <w:r/>
            <w:r>
              <w:rPr>
                <w:rFonts w:ascii="Calibri" w:hAnsi="Calibri"/>
                <w:sz w:val="18"/>
              </w:rPr>
              <w:t>Order receipt method</w:t>
            </w:r>
          </w:p>
        </w:tc>
        <w:tc>
          <w:tcPr>
            <w:tcW w:type="dxa" w:w="4896"/>
          </w:tcPr>
          <w:p>
            <w:r/>
            <w:r>
              <w:rPr>
                <w:rFonts w:ascii="Calibri" w:hAnsi="Calibri"/>
                <w:sz w:val="18"/>
              </w:rPr>
              <w:t>☐ Dashboard   ☐ App   ☐ Phone relay   ☐ Other: ____________</w:t>
            </w:r>
          </w:p>
        </w:tc>
      </w:tr>
      <w:tr>
        <w:tc>
          <w:tcPr>
            <w:tcW w:type="dxa" w:w="4896"/>
          </w:tcPr>
          <w:p>
            <w:r/>
            <w:r>
              <w:rPr>
                <w:rFonts w:ascii="Calibri" w:hAnsi="Calibri"/>
                <w:sz w:val="18"/>
              </w:rPr>
              <w:t>Effective Date</w:t>
            </w:r>
          </w:p>
        </w:tc>
        <w:tc>
          <w:tcPr>
            <w:tcW w:type="dxa" w:w="4896"/>
          </w:tcPr>
          <w:p>
            <w:r/>
            <w:r>
              <w:rPr>
                <w:rFonts w:ascii="Calibri" w:hAnsi="Calibri"/>
                <w:sz w:val="18"/>
              </w:rPr>
              <w:t>______________________________________________</w:t>
            </w:r>
          </w:p>
        </w:tc>
      </w:tr>
    </w:tbl>
    <w:p>
      <w:pPr>
        <w:spacing w:after="40"/>
      </w:pPr>
    </w:p>
    <w:p>
      <w:r>
        <w:rPr>
          <w:b/>
        </w:rPr>
        <w:t xml:space="preserve">Onboarding checklist (SwyftBite use — not part of the legal terms): </w:t>
      </w:r>
    </w:p>
    <w:p>
      <w:pPr>
        <w:pStyle w:val="ListBullet"/>
        <w:spacing w:after="60"/>
      </w:pPr>
      <w:r>
        <w:t>Signed Exhibit A and W-9 collected.</w:t>
      </w:r>
    </w:p>
    <w:p>
      <w:pPr>
        <w:pStyle w:val="ListBullet"/>
        <w:spacing w:after="60"/>
      </w:pPr>
      <w:r>
        <w:t>ACH information received via secure form and verified.</w:t>
      </w:r>
    </w:p>
    <w:p>
      <w:pPr>
        <w:pStyle w:val="ListBullet"/>
        <w:spacing w:after="60"/>
      </w:pPr>
      <w:r>
        <w:t>Menu, photos, hours, and allergen notes entered and approved by Merchant.</w:t>
      </w:r>
    </w:p>
    <w:p>
      <w:pPr>
        <w:pStyle w:val="ListBullet"/>
        <w:spacing w:after="60"/>
      </w:pPr>
      <w:r>
        <w:t>Order receipt method tested with a live test order on Merchant’s own device.</w:t>
      </w:r>
    </w:p>
    <w:p>
      <w:pPr>
        <w:pStyle w:val="ListBullet"/>
        <w:spacing w:after="60"/>
      </w:pPr>
      <w:r>
        <w:t>Staff briefed on barcode-must-match pickup (§5) and the customer PIN delivery standard (§6).</w:t>
      </w:r>
    </w:p>
    <w:p>
      <w:pPr>
        <w:pStyle w:val="ListBullet"/>
        <w:spacing w:after="60"/>
      </w:pPr>
      <w:r>
        <w:t>Window decal / “Now on SwyftBite” badge delivered and launch date set.</w:t>
      </w:r>
    </w:p>
    <w:p>
      <w:pPr>
        <w:spacing w:after="120"/>
      </w:pPr>
      <w:r>
        <w:rPr>
          <w:i/>
          <w:sz w:val="18"/>
        </w:rPr>
        <w:t>Template for discussion purposes. SwyftBite recommends review by a Texas business attorney before first use. No provision of these Terms requires Merchant to purchase, rent, or accept proprietary SwyftBite tablet hardware.</w:t>
      </w:r>
    </w:p>
    <w:sectPr w:rsidR="00FC693F" w:rsidRPr="0006063C" w:rsidSect="00034616">
      <w:footerReference w:type="default" r:id="rId9"/>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6B7B8A"/>
        <w:sz w:val="15"/>
      </w:rPr>
      <w:t>SwyftBite  •  McKinney – Fairview – Allen – Frisco  •  Celia Bartram  •  celia@swyftbite.com  •  972-464-6300</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before="0" w:line="269" w:lineRule="auto"/>
    </w:pPr>
    <w:rPr>
      <w:rFonts w:ascii="Calibri" w:hAnsi="Calibri"/>
      <w:color w:val="2B2B2B"/>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80"/>
      <w:outlineLvl w:val="0"/>
    </w:pPr>
    <w:rPr>
      <w:rFonts w:asciiTheme="majorHAnsi" w:eastAsiaTheme="majorEastAsia" w:hAnsiTheme="majorHAnsi" w:cstheme="majorBidi" w:ascii="Calibri" w:hAnsi="Calibri"/>
      <w:b/>
      <w:bCs/>
      <w:color w:val="0F2A44"/>
      <w:sz w:val="26"/>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Calibri" w:hAnsi="Calibri"/>
      <w:b/>
      <w:bCs/>
      <w:color w:val="0F2A44"/>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SwyftBite Merchant Terms of Service</dc:title>
  <dc:subject>Merchant-first master terms: 15% commission cap, BYOD, barcode + PIN verification</dc:subject>
  <dc:creator>SwyftBite — Celia Bartram</dc:creator>
  <cp:keywords>SwyftBite, merchant terms, 15% commission, Collin County</cp:keywords>
  <dc:description>generated by python-docx</dc:description>
  <cp:lastModifiedBy/>
  <cp:revision>1</cp:revision>
  <dcterms:created xsi:type="dcterms:W3CDTF">2013-12-23T23:15:00Z</dcterms:created>
  <dcterms:modified xsi:type="dcterms:W3CDTF">2013-12-23T23:15:00Z</dcterms:modified>
  <cp:category/>
</cp:coreProperties>
</file>