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caps/>
          <w:color w:val="E86B1E"/>
          <w:sz w:val="18"/>
        </w:rPr>
        <w:t>MERCHANT PARTNER AGREEMENT</w:t>
      </w:r>
    </w:p>
    <w:p>
      <w:pPr>
        <w:spacing w:after="0"/>
        <w:jc w:val="center"/>
      </w:pPr>
      <w:r>
        <w:rPr>
          <w:b/>
          <w:color w:val="0F2A44"/>
          <w:sz w:val="64"/>
        </w:rPr>
        <w:t>SwyftBite</w:t>
      </w:r>
    </w:p>
    <w:p>
      <w:pPr>
        <w:spacing w:after="40"/>
        <w:jc w:val="center"/>
      </w:pPr>
      <w:r>
        <w:rPr>
          <w:color w:val="4A4A4A"/>
          <w:sz w:val="32"/>
        </w:rPr>
        <w:t>Merchant Partner Agreement</w:t>
      </w:r>
    </w:p>
    <w:p>
      <w:pPr>
        <w:jc w:val="center"/>
      </w:pPr>
      <w:r>
        <w:rPr>
          <w:i/>
          <w:color w:val="4A4A4A"/>
          <w:sz w:val="20"/>
        </w:rPr>
        <w:t>Hyper-local food delivery  •  Collin County, Texas</w:t>
      </w:r>
    </w:p>
    <w:tbl>
      <w:tblPr>
        <w:tblW w:type="auto" w:w="0"/>
        <w:jc w:val="center"/>
        <w:tblLook w:firstColumn="1" w:firstRow="1" w:lastColumn="0" w:lastRow="0" w:noHBand="0" w:noVBand="1" w:val="04A0"/>
      </w:tblPr>
      <w:tblGrid>
        <w:gridCol w:w="9792"/>
      </w:tblGrid>
      <w:tr>
        <w:tc>
          <w:tcPr>
            <w:tcW w:type="dxa" w:w="9792"/>
            <w:shd w:fill="FFF3E8"/>
          </w:tcPr>
          <w:p>
            <w:pPr>
              <w:jc w:val="center"/>
            </w:pPr>
            <w:r/>
            <w:r>
              <w:rPr>
                <w:b/>
                <w:color w:val="0F2A44"/>
                <w:sz w:val="19"/>
              </w:rPr>
              <w:t>Merchant-first terms: 15% commission cap  •  $2.49 flat consumer service fee  •  No tablet or hardware to buy</w:t>
            </w:r>
          </w:p>
        </w:tc>
      </w:tr>
    </w:tbl>
    <w:p>
      <w:pPr>
        <w:spacing w:after="40"/>
      </w:pPr>
    </w:p>
    <w:p>
      <w:r>
        <w:rPr>
          <w:b/>
        </w:rPr>
        <w:t xml:space="preserve">Parties. </w:t>
      </w:r>
      <w:r>
        <w:t>This Merchant Partner Agreement (this “Agreement”) is entered into as of the Effective Date in Exhibit A, by and between SwyftBite (“SwyftBite,” “we,” or “us”) and the restaurant or food merchant identified in Exhibit A (“Merchant,” “you,” or “your”). SwyftBite and Merchant are each a “Party” and collectively the “Parties.”</w:t>
      </w:r>
    </w:p>
    <w:p>
      <w:r>
        <w:rPr>
          <w:b/>
        </w:rPr>
        <w:t xml:space="preserve">Purpose. </w:t>
      </w:r>
      <w:r>
        <w:t>SwyftBite operates a hyper-local food delivery marketplace serving McKinney, Fairview, Allen, Frisco, and the surrounding Collin County, Texas area. Merchant wishes to list its menu on the SwyftBite platform and fulfill orders for delivery and pickup through SwyftBite, and SwyftBite wishes to provide those services, on the terms below.</w:t>
      </w:r>
    </w:p>
    <w:p>
      <w:r>
        <w:rPr>
          <w:b/>
        </w:rPr>
        <w:t xml:space="preserve">How to read this. </w:t>
      </w:r>
      <w:r>
        <w:t>This is a plain-language agreement. Headings are for reference only. Capitalized terms not otherwise defined have the meanings given where they first appear.</w:t>
      </w:r>
    </w:p>
    <w:p>
      <w:pPr>
        <w:pStyle w:val="Heading1"/>
      </w:pPr>
      <w:r>
        <w:rPr>
          <w:color w:val="0F2A44"/>
        </w:rPr>
        <w:t>1.  Services Provided</w:t>
      </w:r>
    </w:p>
    <w:p>
      <w:r>
        <w:t>SwyftBite will provide the following services during the Term:</w:t>
      </w:r>
    </w:p>
    <w:p>
      <w:pPr>
        <w:pStyle w:val="ListBullet"/>
      </w:pPr>
      <w:r>
        <w:rPr>
          <w:b/>
        </w:rPr>
        <w:t xml:space="preserve">Marketplace listing. </w:t>
      </w:r>
      <w:r>
        <w:t>A Merchant storefront on the SwyftBite app and website, including menu, photos, hours, and location.</w:t>
      </w:r>
    </w:p>
    <w:p>
      <w:pPr>
        <w:pStyle w:val="ListBullet"/>
      </w:pPr>
      <w:r>
        <w:rPr>
          <w:b/>
        </w:rPr>
        <w:t xml:space="preserve">Order management. </w:t>
      </w:r>
      <w:r>
        <w:t>Order receipt, confirmation, and transmission to Merchant by app, tablet-free web dashboard, phone, or other method agreed in Exhibit A. No proprietary tablet purchase is required.</w:t>
      </w:r>
    </w:p>
    <w:p>
      <w:pPr>
        <w:pStyle w:val="ListBullet"/>
      </w:pPr>
      <w:r>
        <w:rPr>
          <w:b/>
        </w:rPr>
        <w:t xml:space="preserve">Dispatch and delivery. </w:t>
      </w:r>
      <w:r>
        <w:t>Driver-controlled dispatch to independent delivery drivers serving the launch area, with a SwyftBite dispatch backstop when an order is unclaimed, as described in Section 5.</w:t>
      </w:r>
    </w:p>
    <w:p>
      <w:pPr>
        <w:pStyle w:val="ListBullet"/>
      </w:pPr>
      <w:r>
        <w:rPr>
          <w:b/>
        </w:rPr>
        <w:t xml:space="preserve">Payment processing. </w:t>
      </w:r>
      <w:r>
        <w:t>Collection of customer payment (including taxes and tips where applicable), fraud screening, and settlement to Merchant under Section 6.</w:t>
      </w:r>
    </w:p>
    <w:p>
      <w:pPr>
        <w:pStyle w:val="ListBullet"/>
      </w:pPr>
      <w:r>
        <w:rPr>
          <w:b/>
        </w:rPr>
        <w:t xml:space="preserve">Customer support. </w:t>
      </w:r>
      <w:r>
        <w:t>First-line customer support for order status, delivery issues, and refunds for delivery failures attributable to SwyftBite or its drivers.</w:t>
      </w:r>
    </w:p>
    <w:p>
      <w:pPr>
        <w:pStyle w:val="ListBullet"/>
      </w:pPr>
      <w:r>
        <w:rPr>
          <w:b/>
        </w:rPr>
        <w:t xml:space="preserve">Marketing. </w:t>
      </w:r>
      <w:r>
        <w:t>Inclusion in launch marketing, in-app placement, and local promotion in the service area, subject to Section 10.</w:t>
      </w:r>
    </w:p>
    <w:p>
      <w:pPr>
        <w:pStyle w:val="Heading1"/>
      </w:pPr>
      <w:r>
        <w:rPr>
          <w:color w:val="0F2A44"/>
        </w:rPr>
        <w:t>2.  Commission and Fees — the 15% Cap</w:t>
      </w:r>
    </w:p>
    <w:p>
      <w:r>
        <w:t>The economics below are the core of the SwyftBite merchant promise. The commission rate in this Section will not increase during the Initial Term (Section 8) without Merchant’s written consent.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232"/>
            <w:shd w:fill="FFF3E8"/>
          </w:tcPr>
          <w:p>
            <w:r>
              <w:rPr>
                <w:b/>
                <w:color w:val="0F2A44"/>
                <w:sz w:val="19"/>
              </w:rPr>
              <w:t>Charge</w:t>
            </w:r>
          </w:p>
        </w:tc>
        <w:tc>
          <w:tcPr>
            <w:tcW w:type="dxa" w:w="2736"/>
            <w:shd w:fill="FFF3E8"/>
          </w:tcPr>
          <w:p>
            <w:r>
              <w:rPr>
                <w:b/>
                <w:color w:val="0F2A44"/>
                <w:sz w:val="19"/>
              </w:rPr>
              <w:t>Amount</w:t>
            </w:r>
          </w:p>
        </w:tc>
        <w:tc>
          <w:tcPr>
            <w:tcW w:type="dxa" w:w="2160"/>
            <w:shd w:fill="FFF3E8"/>
          </w:tcPr>
          <w:p>
            <w:r>
              <w:rPr>
                <w:b/>
                <w:color w:val="0F2A44"/>
                <w:sz w:val="19"/>
              </w:rPr>
              <w:t>Paid by</w:t>
            </w:r>
          </w:p>
        </w:tc>
        <w:tc>
          <w:tcPr>
            <w:tcW w:type="dxa" w:w="3312"/>
            <w:shd w:fill="FFF3E8"/>
          </w:tcPr>
          <w:p>
            <w:r>
              <w:rPr>
                <w:b/>
                <w:color w:val="0F2A44"/>
                <w:sz w:val="19"/>
              </w:rPr>
              <w:t>Notes</w:t>
            </w:r>
          </w:p>
        </w:tc>
      </w:tr>
      <w:tr>
        <w:tc>
          <w:tcPr>
            <w:tcW w:type="dxa" w:w="2232"/>
          </w:tcPr>
          <w:p>
            <w:r>
              <w:rPr>
                <w:sz w:val="19"/>
              </w:rPr>
              <w:t>Commission</w:t>
            </w:r>
          </w:p>
        </w:tc>
        <w:tc>
          <w:tcPr>
            <w:tcW w:type="dxa" w:w="2736"/>
          </w:tcPr>
          <w:p>
            <w:r>
              <w:rPr>
                <w:sz w:val="19"/>
              </w:rPr>
              <w:t>15% of the order subtotal (food and beverage items, before tax)</w:t>
            </w:r>
          </w:p>
        </w:tc>
        <w:tc>
          <w:tcPr>
            <w:tcW w:type="dxa" w:w="2160"/>
          </w:tcPr>
          <w:p>
            <w:r>
              <w:rPr>
                <w:sz w:val="19"/>
              </w:rPr>
              <w:t>Merchant (deducted at settlement)</w:t>
            </w:r>
          </w:p>
        </w:tc>
        <w:tc>
          <w:tcPr>
            <w:tcW w:type="dxa" w:w="3312"/>
          </w:tcPr>
          <w:p>
            <w:r>
              <w:rPr>
                <w:sz w:val="19"/>
              </w:rPr>
              <w:t>Capped rate. No additional marketplace, listing, or activation fee.</w:t>
            </w:r>
          </w:p>
        </w:tc>
      </w:tr>
      <w:tr>
        <w:tc>
          <w:tcPr>
            <w:tcW w:type="dxa" w:w="2232"/>
          </w:tcPr>
          <w:p>
            <w:r>
              <w:rPr>
                <w:sz w:val="19"/>
              </w:rPr>
              <w:t>Consumer service fee</w:t>
            </w:r>
          </w:p>
        </w:tc>
        <w:tc>
          <w:tcPr>
            <w:tcW w:type="dxa" w:w="2736"/>
          </w:tcPr>
          <w:p>
            <w:r>
              <w:rPr>
                <w:sz w:val="19"/>
              </w:rPr>
              <w:t>$2.49 flat per order</w:t>
            </w:r>
          </w:p>
        </w:tc>
        <w:tc>
          <w:tcPr>
            <w:tcW w:type="dxa" w:w="2160"/>
          </w:tcPr>
          <w:p>
            <w:r>
              <w:rPr>
                <w:sz w:val="19"/>
              </w:rPr>
              <w:t>Customer</w:t>
            </w:r>
          </w:p>
        </w:tc>
        <w:tc>
          <w:tcPr>
            <w:tcW w:type="dxa" w:w="3312"/>
          </w:tcPr>
          <w:p>
            <w:r>
              <w:rPr>
                <w:sz w:val="19"/>
              </w:rPr>
              <w:t>Disclosed to the customer at checkout. Not deducted from Merchant settlement.</w:t>
            </w:r>
          </w:p>
        </w:tc>
      </w:tr>
      <w:tr>
        <w:tc>
          <w:tcPr>
            <w:tcW w:type="dxa" w:w="2232"/>
          </w:tcPr>
          <w:p>
            <w:r>
              <w:rPr>
                <w:sz w:val="19"/>
              </w:rPr>
              <w:t>Payment processing</w:t>
            </w:r>
          </w:p>
        </w:tc>
        <w:tc>
          <w:tcPr>
            <w:tcW w:type="dxa" w:w="2736"/>
          </w:tcPr>
          <w:p>
            <w:r>
              <w:rPr>
                <w:sz w:val="19"/>
              </w:rPr>
              <w:t>Included in commission</w:t>
            </w:r>
          </w:p>
        </w:tc>
        <w:tc>
          <w:tcPr>
            <w:tcW w:type="dxa" w:w="2160"/>
          </w:tcPr>
          <w:p>
            <w:r>
              <w:rPr>
                <w:sz w:val="19"/>
              </w:rPr>
              <w:t>—</w:t>
            </w:r>
          </w:p>
        </w:tc>
        <w:tc>
          <w:tcPr>
            <w:tcW w:type="dxa" w:w="3312"/>
          </w:tcPr>
          <w:p>
            <w:r>
              <w:rPr>
                <w:sz w:val="19"/>
              </w:rPr>
              <w:t>No separate processing pass-through.</w:t>
            </w:r>
          </w:p>
        </w:tc>
      </w:tr>
      <w:tr>
        <w:tc>
          <w:tcPr>
            <w:tcW w:type="dxa" w:w="2232"/>
          </w:tcPr>
          <w:p>
            <w:r>
              <w:rPr>
                <w:sz w:val="19"/>
              </w:rPr>
              <w:t>Equipment / tablet</w:t>
            </w:r>
          </w:p>
        </w:tc>
        <w:tc>
          <w:tcPr>
            <w:tcW w:type="dxa" w:w="2736"/>
          </w:tcPr>
          <w:p>
            <w:r>
              <w:rPr>
                <w:sz w:val="19"/>
              </w:rPr>
              <w:t>$0</w:t>
            </w:r>
          </w:p>
        </w:tc>
        <w:tc>
          <w:tcPr>
            <w:tcW w:type="dxa" w:w="2160"/>
          </w:tcPr>
          <w:p>
            <w:r>
              <w:rPr>
                <w:sz w:val="19"/>
              </w:rPr>
              <w:t>—</w:t>
            </w:r>
          </w:p>
        </w:tc>
        <w:tc>
          <w:tcPr>
            <w:tcW w:type="dxa" w:w="3312"/>
          </w:tcPr>
          <w:p>
            <w:r>
              <w:rPr>
                <w:sz w:val="19"/>
              </w:rPr>
              <w:t>Merchant may use its own device; SwyftBite will help configure it at onboarding.</w:t>
            </w:r>
          </w:p>
        </w:tc>
      </w:tr>
      <w:tr>
        <w:tc>
          <w:tcPr>
            <w:tcW w:type="dxa" w:w="2232"/>
          </w:tcPr>
          <w:p>
            <w:r>
              <w:rPr>
                <w:sz w:val="19"/>
              </w:rPr>
              <w:t>Menu photography (launch)</w:t>
            </w:r>
          </w:p>
        </w:tc>
        <w:tc>
          <w:tcPr>
            <w:tcW w:type="dxa" w:w="2736"/>
          </w:tcPr>
          <w:p>
            <w:r>
              <w:rPr>
                <w:sz w:val="19"/>
              </w:rPr>
              <w:t>Included at launch onboarding</w:t>
            </w:r>
          </w:p>
        </w:tc>
        <w:tc>
          <w:tcPr>
            <w:tcW w:type="dxa" w:w="2160"/>
          </w:tcPr>
          <w:p>
            <w:r>
              <w:rPr>
                <w:sz w:val="19"/>
              </w:rPr>
              <w:t>—</w:t>
            </w:r>
          </w:p>
        </w:tc>
        <w:tc>
          <w:tcPr>
            <w:tcW w:type="dxa" w:w="3312"/>
          </w:tcPr>
          <w:p>
            <w:r>
              <w:rPr>
                <w:sz w:val="19"/>
              </w:rPr>
              <w:t>Merchant may substitute its own photos at any time.</w:t>
            </w:r>
          </w:p>
        </w:tc>
      </w:tr>
    </w:tbl>
    <w:p>
      <w:pPr>
        <w:spacing w:after="40"/>
      </w:pPr>
    </w:p>
    <w:p>
      <w:pPr>
        <w:pStyle w:val="ListBullet"/>
      </w:pPr>
      <w:r>
        <w:rPr>
          <w:b/>
        </w:rPr>
        <w:t xml:space="preserve">Illustrative math. </w:t>
      </w:r>
      <w:r>
        <w:t>On a $35.00 subtotal, Merchant commission is $5.25, Merchant net before tax/tip pass-through is $29.75, and the customer pays the $2.49 service fee plus applicable tax and optional tip.</w:t>
      </w:r>
    </w:p>
    <w:p>
      <w:pPr>
        <w:pStyle w:val="ListBullet"/>
      </w:pPr>
      <w:r>
        <w:rPr>
          <w:b/>
        </w:rPr>
        <w:t xml:space="preserve">What commission is not charged on. </w:t>
      </w:r>
      <w:r>
        <w:t>Sales tax collected for remittance and customer tips designated for Merchant staff or drivers are excluded from the commission base.</w:t>
      </w:r>
    </w:p>
    <w:p>
      <w:pPr>
        <w:pStyle w:val="ListBullet"/>
      </w:pPr>
      <w:r>
        <w:rPr>
          <w:b/>
        </w:rPr>
        <w:t xml:space="preserve">Promotions. </w:t>
      </w:r>
      <w:r>
        <w:t>Merchant-funded discounts reduce the subtotal before commission is calculated unless the promotion terms state otherwise. SwyftBite-funded promotions do not reduce Merchant settlement.</w:t>
      </w:r>
    </w:p>
    <w:p>
      <w:pPr>
        <w:pStyle w:val="ListBullet"/>
      </w:pPr>
      <w:r>
        <w:rPr>
          <w:b/>
        </w:rPr>
        <w:t xml:space="preserve">No hidden fees. </w:t>
      </w:r>
      <w:r>
        <w:t>Any new fee other than the commission above must be added by written amendment signed by both Parties (Section 14).</w:t>
      </w:r>
    </w:p>
    <w:p>
      <w:pPr>
        <w:pStyle w:val="Heading1"/>
      </w:pPr>
      <w:r>
        <w:rPr>
          <w:color w:val="0F2A44"/>
        </w:rPr>
        <w:t>3.  Menu, Pricing, and Availability</w:t>
      </w:r>
    </w:p>
    <w:p>
      <w:pPr>
        <w:pStyle w:val="ListBullet"/>
      </w:pPr>
      <w:r>
        <w:rPr>
          <w:b/>
        </w:rPr>
        <w:t xml:space="preserve">Merchant controls its menu. </w:t>
      </w:r>
      <w:r>
        <w:t>Items, descriptions, modifiers, allergen notes, and availability are supplied and controlled by Merchant. Merchant will keep the menu accurate and update it promptly when items or prices change.</w:t>
      </w:r>
    </w:p>
    <w:p>
      <w:pPr>
        <w:pStyle w:val="ListBullet"/>
      </w:pPr>
      <w:r>
        <w:rPr>
          <w:b/>
        </w:rPr>
        <w:t xml:space="preserve">Price parity. </w:t>
      </w:r>
      <w:r>
        <w:t>Prices listed on SwyftBite will be the same as Merchant’s in-store menu prices for the same items. Merchant may offer SwyftBite-exclusive bundles or promotions.</w:t>
      </w:r>
    </w:p>
    <w:p>
      <w:pPr>
        <w:pStyle w:val="ListBullet"/>
      </w:pPr>
      <w:r>
        <w:rPr>
          <w:b/>
        </w:rPr>
        <w:t xml:space="preserve">Hours. </w:t>
      </w:r>
      <w:r>
        <w:t>Merchant will publish accurate ordering hours and will accept orders only when it can prepare them within the quoted preparation time.</w:t>
      </w:r>
    </w:p>
    <w:p>
      <w:pPr>
        <w:pStyle w:val="ListBullet"/>
      </w:pPr>
      <w:r>
        <w:rPr>
          <w:b/>
        </w:rPr>
        <w:t xml:space="preserve">Compliance. </w:t>
      </w:r>
      <w:r>
        <w:t>Menu content must comply with applicable law, including allergen and calorie disclosure where required. Merchant is responsible for the accuracy of its listings.</w:t>
      </w:r>
    </w:p>
    <w:p>
      <w:pPr>
        <w:pStyle w:val="Heading1"/>
      </w:pPr>
      <w:r>
        <w:rPr>
          <w:color w:val="0F2A44"/>
        </w:rPr>
        <w:t>4.  Orders, Preparation, and Verified Handoff</w:t>
      </w:r>
    </w:p>
    <w:p>
      <w:r>
        <w:t>Orders flow as follows. Each step exists to protect food quality and give both Parties a clear record of what happened.</w:t>
      </w:r>
    </w:p>
    <w:p>
      <w:pPr>
        <w:pStyle w:val="ListNumber"/>
      </w:pPr>
      <w:r>
        <w:t>Customer places an order and pays through SwyftBite. SwyftBite transmits the order to Merchant.</w:t>
      </w:r>
    </w:p>
    <w:p>
      <w:pPr>
        <w:pStyle w:val="ListNumber"/>
      </w:pPr>
      <w:r>
        <w:t>Merchant accepts the order and confirms the preparation time. If Merchant cannot fulfill an order, Merchant will reject it promptly through the dashboard so the customer can be refunded or re-routed.</w:t>
      </w:r>
    </w:p>
    <w:p>
      <w:pPr>
        <w:pStyle w:val="ListNumber"/>
      </w:pPr>
      <w:r>
        <w:t>Merchant prepares the order to be ready at the confirmed time, packaged and labeled with the order identifier provided by SwyftBite.</w:t>
      </w:r>
    </w:p>
    <w:p>
      <w:pPr>
        <w:pStyle w:val="ListNumber"/>
      </w:pPr>
      <w:r>
        <w:t>The assigned driver arrives and presents the order identifier. Merchant verifies the match before handing over the order.</w:t>
      </w:r>
    </w:p>
    <w:p>
      <w:pPr>
        <w:pStyle w:val="ListNumber"/>
      </w:pPr>
      <w:r>
        <w:t>At delivery, the customer (or the customer’s designee) provides the delivery PIN issued at checkout. The driver enters the PIN in the driver app to confirm completed delivery (“PIN delivery verification”).</w:t>
      </w:r>
    </w:p>
    <w:p>
      <w:r>
        <w:t>Merchant will not hand an order to a driver whose order identifier does not match. If a driver is delayed beyond the confirmed pickup window, Merchant should hold the order under appropriate food-safety conditions and contact SwyftBite support; Section 5 describes the dispatch backstop.</w:t>
      </w:r>
    </w:p>
    <w:p>
      <w:pPr>
        <w:pStyle w:val="Heading1"/>
      </w:pPr>
      <w:r>
        <w:rPr>
          <w:color w:val="0F2A44"/>
        </w:rPr>
        <w:t>5.  Delivery and the Customer Experience</w:t>
      </w:r>
    </w:p>
    <w:p>
      <w:pPr>
        <w:pStyle w:val="ListBullet"/>
      </w:pPr>
      <w:r>
        <w:rPr>
          <w:b/>
        </w:rPr>
        <w:t xml:space="preserve">Driver-controlled dispatch. </w:t>
      </w:r>
      <w:r>
        <w:t>Independent drivers choose the orders they accept. SwyftBite sets delivery zones, quoted times, and service standards, and monitors completion and PIN-verification rates.</w:t>
      </w:r>
    </w:p>
    <w:p>
      <w:pPr>
        <w:pStyle w:val="ListBullet"/>
      </w:pPr>
      <w:r>
        <w:rPr>
          <w:b/>
        </w:rPr>
        <w:t xml:space="preserve">Dispatch backstop. </w:t>
      </w:r>
      <w:r>
        <w:t>If an order is not claimed within the window SwyftBite sets for the zone, SwyftBite will escalate — re-posting the order, contacting nearby drivers, and, where feasible, arranging an alternative. Merchant will be notified if a delivery time will materially change.</w:t>
      </w:r>
    </w:p>
    <w:p>
      <w:pPr>
        <w:pStyle w:val="ListBullet"/>
      </w:pPr>
      <w:r>
        <w:rPr>
          <w:b/>
        </w:rPr>
        <w:t xml:space="preserve">Delivery standards. </w:t>
      </w:r>
      <w:r>
        <w:t>Drivers are required to use insulated transport where appropriate, follow Merchant handoff instructions, and complete PIN verification at the delivery address.</w:t>
      </w:r>
    </w:p>
    <w:p>
      <w:pPr>
        <w:pStyle w:val="ListBullet"/>
      </w:pPr>
      <w:r>
        <w:rPr>
          <w:b/>
        </w:rPr>
        <w:t xml:space="preserve">Customer issues. </w:t>
      </w:r>
      <w:r>
        <w:t>SwyftBite is the customer’s first point of contact for delivery issues. Where an issue is caused by Merchant preparation or packaging, SwyftBite may issue a customer refund and deduct it from settlement only with an itemized notice (Section 7).</w:t>
      </w:r>
    </w:p>
    <w:p>
      <w:pPr>
        <w:pStyle w:val="ListBullet"/>
      </w:pPr>
      <w:r>
        <w:rPr>
          <w:b/>
        </w:rPr>
        <w:t xml:space="preserve">Independent contractors. </w:t>
      </w:r>
      <w:r>
        <w:t>Drivers are independent contractors, not employees of SwyftBite or Merchant. Nothing in this Agreement creates an employment or agency relationship between Merchant and any driver.</w:t>
      </w:r>
    </w:p>
    <w:p>
      <w:pPr>
        <w:pStyle w:val="Heading1"/>
      </w:pPr>
      <w:r>
        <w:rPr>
          <w:color w:val="0F2A44"/>
        </w:rPr>
        <w:t>6.  Payment and Settlement</w:t>
      </w:r>
    </w:p>
    <w:p>
      <w:pPr>
        <w:pStyle w:val="ListBullet"/>
      </w:pPr>
      <w:r>
        <w:rPr>
          <w:b/>
        </w:rPr>
        <w:t xml:space="preserve">Settlement cycle. </w:t>
      </w:r>
      <w:r>
        <w:t>SwyftBite will settle weekly, for orders completed Monday through Sunday, by ACH to the account in Exhibit A, ordinarily within three (3) business days after the cycle closes.</w:t>
      </w:r>
    </w:p>
    <w:p>
      <w:pPr>
        <w:pStyle w:val="ListBullet"/>
      </w:pPr>
      <w:r>
        <w:rPr>
          <w:b/>
        </w:rPr>
        <w:t xml:space="preserve">Net settlement. </w:t>
      </w:r>
      <w:r>
        <w:t>Each settlement equals gross order subtotals, plus taxes collected for Merchant remittance and Merchant-designated tips, less the Section 2 commission, less itemized refunds or adjustments properly attributable to Merchant under Section 5.</w:t>
      </w:r>
    </w:p>
    <w:p>
      <w:pPr>
        <w:pStyle w:val="ListBullet"/>
      </w:pPr>
      <w:r>
        <w:rPr>
          <w:b/>
        </w:rPr>
        <w:t xml:space="preserve">Reporting. </w:t>
      </w:r>
      <w:r>
        <w:t>Each settlement includes an itemized report: order count, subtotals, commission, refunds, taxes, tips, and net payable. Merchant will review reports promptly and dispute any line item in writing within thirty (30) days.</w:t>
      </w:r>
    </w:p>
    <w:p>
      <w:pPr>
        <w:pStyle w:val="ListBullet"/>
      </w:pPr>
      <w:r>
        <w:rPr>
          <w:b/>
        </w:rPr>
        <w:t xml:space="preserve">Taxes. </w:t>
      </w:r>
      <w:r>
        <w:t>Merchant is responsible for setting correct tax rates for its menu, collecting menu prices, and remitting sales tax. SwyftBite will pass through tax amounts it collects on Merchant’s behalf as shown in the settlement report.</w:t>
      </w:r>
    </w:p>
    <w:p>
      <w:pPr>
        <w:pStyle w:val="ListBullet"/>
      </w:pPr>
      <w:r>
        <w:rPr>
          <w:b/>
        </w:rPr>
        <w:t xml:space="preserve">Chargebacks. </w:t>
      </w:r>
      <w:r>
        <w:t>If a customer payment is reversed for fraud or non-delivery, SwyftBite will notify Merchant with documentation. Costs are borne by the Party whose conduct caused the reversal.</w:t>
      </w:r>
    </w:p>
    <w:p>
      <w:pPr>
        <w:pStyle w:val="Heading1"/>
      </w:pPr>
      <w:r>
        <w:rPr>
          <w:color w:val="0F2A44"/>
        </w:rPr>
        <w:t>7.  Term and Termination</w:t>
      </w:r>
    </w:p>
    <w:p>
      <w:pPr>
        <w:pStyle w:val="ListBullet"/>
      </w:pPr>
      <w:r>
        <w:rPr>
          <w:b/>
        </w:rPr>
        <w:t xml:space="preserve">Initial Term. </w:t>
      </w:r>
      <w:r>
        <w:t>Twelve (12) months from the Effective Date, unless terminated earlier under this Section.</w:t>
      </w:r>
    </w:p>
    <w:p>
      <w:pPr>
        <w:pStyle w:val="ListBullet"/>
      </w:pPr>
      <w:r>
        <w:rPr>
          <w:b/>
        </w:rPr>
        <w:t xml:space="preserve">Renewal. </w:t>
      </w:r>
      <w:r>
        <w:t>After the Initial Term, this Agreement renews month-to-month on the same terms, including the Section 2 commission cap then in effect by written amendment, if any.</w:t>
      </w:r>
    </w:p>
    <w:p>
      <w:pPr>
        <w:pStyle w:val="ListBullet"/>
      </w:pPr>
      <w:r>
        <w:rPr>
          <w:b/>
        </w:rPr>
        <w:t xml:space="preserve">Termination for convenience. </w:t>
      </w:r>
      <w:r>
        <w:t>After the first ninety (90) days, either Party may terminate for any reason on thirty (30) days’ written notice.</w:t>
      </w:r>
    </w:p>
    <w:p>
      <w:pPr>
        <w:pStyle w:val="ListBullet"/>
      </w:pPr>
      <w:r>
        <w:rPr>
          <w:b/>
        </w:rPr>
        <w:t xml:space="preserve">Termination for cause. </w:t>
      </w:r>
      <w:r>
        <w:t>Either Party may terminate immediately on written notice if the other Party materially breaches this Agreement and does not cure within fourteen (14) days after notice (or within forty-eight (48) hours for a food-safety or payment failure).</w:t>
      </w:r>
    </w:p>
    <w:p>
      <w:pPr>
        <w:pStyle w:val="ListBullet"/>
      </w:pPr>
      <w:r>
        <w:rPr>
          <w:b/>
        </w:rPr>
        <w:t xml:space="preserve">Effect of termination. </w:t>
      </w:r>
      <w:r>
        <w:t>SwyftBite will remove Merchant’s listing at the end of the notice period, complete in-flight orders, and pay all amounts owed through the termination date in the next settlement cycle. Sections 9–14 survive termination.</w:t>
      </w:r>
    </w:p>
    <w:p>
      <w:pPr>
        <w:pStyle w:val="Heading1"/>
      </w:pPr>
      <w:r>
        <w:rPr>
          <w:color w:val="0F2A44"/>
        </w:rPr>
        <w:t>8.  Merchant Responsibilities</w:t>
      </w:r>
    </w:p>
    <w:p>
      <w:pPr>
        <w:pStyle w:val="ListBullet"/>
      </w:pPr>
      <w:r>
        <w:t>Maintain all licenses, permits, and health approvals required to operate a food establishment in Collin County and the State of Texas, and comply with applicable food-safety and sanitation law.</w:t>
      </w:r>
    </w:p>
    <w:p>
      <w:pPr>
        <w:pStyle w:val="ListBullet"/>
      </w:pPr>
      <w:r>
        <w:t>Prepare all food safely, accurately, and in accordance with the order, and package it to maintain quality in transit.</w:t>
      </w:r>
    </w:p>
    <w:p>
      <w:pPr>
        <w:pStyle w:val="ListBullet"/>
      </w:pPr>
      <w:r>
        <w:t>Keep business hours, contact information, and banking information current in writing.</w:t>
      </w:r>
    </w:p>
    <w:p>
      <w:pPr>
        <w:pStyle w:val="ListBullet"/>
      </w:pPr>
      <w:r>
        <w:t>Designate an on-site contact for order issues during ordering hours and respond to SwyftBite support inquiries in a timely manner.</w:t>
      </w:r>
    </w:p>
    <w:p>
      <w:pPr>
        <w:pStyle w:val="ListBullet"/>
      </w:pPr>
      <w:r>
        <w:t>Honor prices, promotions, and gift instruments that Merchant has authorized for the platform.</w:t>
      </w:r>
    </w:p>
    <w:p>
      <w:pPr>
        <w:pStyle w:val="ListBullet"/>
      </w:pPr>
      <w:r>
        <w:t>Not solicit SwyftBite customers to bypass the platform for orders that originated on SwyftBite during the Term, except through Merchant’s general public marketing.</w:t>
      </w:r>
    </w:p>
    <w:p>
      <w:pPr>
        <w:pStyle w:val="Heading1"/>
      </w:pPr>
      <w:r>
        <w:rPr>
          <w:color w:val="0F2A44"/>
        </w:rPr>
        <w:t>9.  SwyftBite Responsibilities</w:t>
      </w:r>
    </w:p>
    <w:p>
      <w:pPr>
        <w:pStyle w:val="ListBullet"/>
      </w:pPr>
      <w:r>
        <w:t>Operate the platform with reasonable care, maintain order and payment systems, and provide Merchant onboarding and a named point of contact.</w:t>
      </w:r>
    </w:p>
    <w:p>
      <w:pPr>
        <w:pStyle w:val="ListBullet"/>
      </w:pPr>
      <w:r>
        <w:t>Provide timely notice of planned platform changes that materially affect Merchant operations.</w:t>
      </w:r>
    </w:p>
    <w:p>
      <w:pPr>
        <w:pStyle w:val="ListBullet"/>
      </w:pPr>
      <w:r>
        <w:t>Pay settlements as described in Section 6 and provide the itemized reports described there.</w:t>
      </w:r>
    </w:p>
    <w:p>
      <w:pPr>
        <w:pStyle w:val="ListBullet"/>
      </w:pPr>
      <w:r>
        <w:t>Handle customer personal information only as needed to fulfill orders, consistent with Section 10.</w:t>
      </w:r>
    </w:p>
    <w:p>
      <w:pPr>
        <w:pStyle w:val="Heading1"/>
      </w:pPr>
      <w:r>
        <w:rPr>
          <w:color w:val="0F2A44"/>
        </w:rPr>
        <w:t>10.  Marketing, Branding, and Reviews</w:t>
      </w:r>
    </w:p>
    <w:p>
      <w:pPr>
        <w:pStyle w:val="ListBullet"/>
      </w:pPr>
      <w:r>
        <w:rPr>
          <w:b/>
        </w:rPr>
        <w:t xml:space="preserve">License to use marks. </w:t>
      </w:r>
      <w:r>
        <w:t>Each Party grants the other a non-exclusive, royalty-free license to use its name and logo solely to identify the partnership and fulfill this Agreement. SwyftBite will follow Merchant’s reasonable brand guidelines; Merchant will follow SwyftBite’s guidelines when using the SwyftBite badge or window decal.</w:t>
      </w:r>
    </w:p>
    <w:p>
      <w:pPr>
        <w:pStyle w:val="ListBullet"/>
      </w:pPr>
      <w:r>
        <w:rPr>
          <w:b/>
        </w:rPr>
        <w:t xml:space="preserve">Launch marketing. </w:t>
      </w:r>
      <w:r>
        <w:t>SwyftBite will include Merchant in launch announcements for its service cell, subject to Merchant approval of any quote attributed to Merchant or its owner.</w:t>
      </w:r>
    </w:p>
    <w:p>
      <w:pPr>
        <w:pStyle w:val="ListBullet"/>
      </w:pPr>
      <w:r>
        <w:rPr>
          <w:b/>
        </w:rPr>
        <w:t xml:space="preserve">Photos and menu content. </w:t>
      </w:r>
      <w:r>
        <w:t>Merchant grants SwyftBite the right to display the menu, photos, and business information Merchant provides (or that SwyftBite creates at onboarding) on the platform and in partnership marketing during the Term.</w:t>
      </w:r>
    </w:p>
    <w:p>
      <w:pPr>
        <w:pStyle w:val="ListBullet"/>
      </w:pPr>
      <w:r>
        <w:rPr>
          <w:b/>
        </w:rPr>
        <w:t xml:space="preserve">Reviews. </w:t>
      </w:r>
      <w:r>
        <w:t>Customer reviews belong to the platform experience. SwyftBite will not edit a review’s substance, and Merchant may respond to reviews through the dashboard. SwyftBite may remove reviews that violate its content policy.</w:t>
      </w:r>
    </w:p>
    <w:p>
      <w:pPr>
        <w:pStyle w:val="Heading1"/>
      </w:pPr>
      <w:r>
        <w:rPr>
          <w:color w:val="0F2A44"/>
        </w:rPr>
        <w:t>11.  Data, Privacy, and Confidentiality</w:t>
      </w:r>
    </w:p>
    <w:p>
      <w:pPr>
        <w:pStyle w:val="ListBullet"/>
      </w:pPr>
      <w:r>
        <w:rPr>
          <w:b/>
        </w:rPr>
        <w:t xml:space="preserve">Order data. </w:t>
      </w:r>
      <w:r>
        <w:t>SwyftBite will share with Merchant only the customer information needed to fulfill an order (such as first name, order details, and delivery instructions the customer provides for that order). Merchant will use that information solely to fulfill the order.</w:t>
      </w:r>
    </w:p>
    <w:p>
      <w:pPr>
        <w:pStyle w:val="ListBullet"/>
      </w:pPr>
      <w:r>
        <w:rPr>
          <w:b/>
        </w:rPr>
        <w:t xml:space="preserve">Merchant data. </w:t>
      </w:r>
      <w:r>
        <w:t>Merchant owns its menu, recipes, and business data. SwyftBite owns the platform, dispatch systems, and aggregated, de-identified analytics. SwyftBite may use aggregated, de-identified data to operate and improve the service.</w:t>
      </w:r>
    </w:p>
    <w:p>
      <w:pPr>
        <w:pStyle w:val="ListBullet"/>
      </w:pPr>
      <w:r>
        <w:rPr>
          <w:b/>
        </w:rPr>
        <w:t xml:space="preserve">Confidentiality. </w:t>
      </w:r>
      <w:r>
        <w:t>Each Party will keep the other’s non-public business information confidential and use it only to perform under this Agreement. Pricing terms in Section 2 may be disclosed by Merchant to its advisors.</w:t>
      </w:r>
    </w:p>
    <w:p>
      <w:pPr>
        <w:pStyle w:val="ListBullet"/>
      </w:pPr>
      <w:r>
        <w:rPr>
          <w:b/>
        </w:rPr>
        <w:t xml:space="preserve">Security. </w:t>
      </w:r>
      <w:r>
        <w:t>Each Party will use reasonable administrative and technical safeguards for personal information in its control and will notify the other promptly of a confirmed breach affecting the other Party’s data.</w:t>
      </w:r>
    </w:p>
    <w:p>
      <w:pPr>
        <w:pStyle w:val="Heading1"/>
      </w:pPr>
      <w:r>
        <w:rPr>
          <w:color w:val="0F2A44"/>
        </w:rPr>
        <w:t>12.  Liability, Indemnification, and Insurance</w:t>
      </w:r>
    </w:p>
    <w:p>
      <w:pPr>
        <w:pStyle w:val="ListBullet"/>
      </w:pPr>
      <w:r>
        <w:rPr>
          <w:b/>
        </w:rPr>
        <w:t xml:space="preserve">Mutual indemnity. </w:t>
      </w:r>
      <w:r>
        <w:t>Each Party will indemnify the other against third-party claims, losses, and reasonable attorneys’ fees arising from its own negligence, willful misconduct, breach of this Agreement, or violation of law. Merchant is responsible for claims arising from its food, premises, and employees; SwyftBite is responsible for claims arising from its platform and payment operations.</w:t>
      </w:r>
    </w:p>
    <w:p>
      <w:pPr>
        <w:pStyle w:val="ListBullet"/>
      </w:pPr>
      <w:r>
        <w:rPr>
          <w:b/>
        </w:rPr>
        <w:t xml:space="preserve">Limitation of liability. </w:t>
      </w:r>
      <w:r>
        <w:t>Except for indemnity obligations, amounts payable to third parties, or willful misconduct, neither Party is liable for indirect, incidental, or consequential damages, and each Party’s total liability under this Agreement is capped at the amounts paid or payable between the Parties in the six (6) months before the claim arose.</w:t>
      </w:r>
    </w:p>
    <w:p>
      <w:pPr>
        <w:pStyle w:val="ListBullet"/>
      </w:pPr>
      <w:r>
        <w:rPr>
          <w:b/>
        </w:rPr>
        <w:t xml:space="preserve">Insurance. </w:t>
      </w:r>
      <w:r>
        <w:t>Merchant will maintain commercial general liability insurance customary for a restaurant of its type. SwyftBite will maintain insurance customary for a delivery marketplace. Each Party will provide a certificate on request.</w:t>
      </w:r>
    </w:p>
    <w:p>
      <w:pPr>
        <w:pStyle w:val="ListBullet"/>
      </w:pPr>
      <w:r>
        <w:rPr>
          <w:b/>
        </w:rPr>
        <w:t xml:space="preserve">Food safety. </w:t>
      </w:r>
      <w:r>
        <w:t>Nothing in this Section limits Merchant’s responsibility for the safety and quality of the food it prepares.</w:t>
      </w:r>
    </w:p>
    <w:p>
      <w:pPr>
        <w:pStyle w:val="Heading1"/>
      </w:pPr>
      <w:r>
        <w:rPr>
          <w:color w:val="0F2A44"/>
        </w:rPr>
        <w:t>13.  Dispute Resolution and Governing Law</w:t>
      </w:r>
    </w:p>
    <w:p>
      <w:pPr>
        <w:pStyle w:val="ListBullet"/>
      </w:pPr>
      <w:r>
        <w:rPr>
          <w:b/>
        </w:rPr>
        <w:t xml:space="preserve">Good-faith discussion first. </w:t>
      </w:r>
      <w:r>
        <w:t>The Parties will attempt to resolve any dispute through discussion between Merchant’s owner (or manager) and SwyftBite’s contact in Section 14 for fourteen (14) days after written notice describing the dispute.</w:t>
      </w:r>
    </w:p>
    <w:p>
      <w:pPr>
        <w:pStyle w:val="ListBullet"/>
      </w:pPr>
      <w:r>
        <w:rPr>
          <w:b/>
        </w:rPr>
        <w:t xml:space="preserve">Mediation, then court. </w:t>
      </w:r>
      <w:r>
        <w:t>If discussion does not resolve it, the Parties will attempt mediation in Collin County, Texas, administered by a mutually agreed mediator, before filing suit, except that either Party may seek immediate injunctive relief.</w:t>
      </w:r>
    </w:p>
    <w:p>
      <w:pPr>
        <w:pStyle w:val="ListBullet"/>
      </w:pPr>
      <w:r>
        <w:rPr>
          <w:b/>
        </w:rPr>
        <w:t xml:space="preserve">Governing law and venue. </w:t>
      </w:r>
      <w:r>
        <w:t>Texas law governs this Agreement. Exclusive venue for any suit is in the state or federal courts located in Collin County, Texas, and the Parties consent to personal jurisdiction there.</w:t>
      </w:r>
    </w:p>
    <w:p>
      <w:pPr>
        <w:pStyle w:val="ListBullet"/>
      </w:pPr>
      <w:r>
        <w:rPr>
          <w:b/>
        </w:rPr>
        <w:t xml:space="preserve">No class waiver implied. </w:t>
      </w:r>
      <w:r>
        <w:t>Nothing in this Section limits a Party’s right to pursue an individual claim in small-claims court in Collin County where that court has jurisdiction.</w:t>
      </w:r>
    </w:p>
    <w:p>
      <w:pPr>
        <w:pStyle w:val="Heading1"/>
      </w:pPr>
      <w:r>
        <w:rPr>
          <w:color w:val="0F2A44"/>
        </w:rPr>
        <w:t>14.  General Provisions</w:t>
      </w:r>
    </w:p>
    <w:p>
      <w:pPr>
        <w:pStyle w:val="ListBullet"/>
      </w:pPr>
      <w:r>
        <w:rPr>
          <w:b/>
        </w:rPr>
        <w:t xml:space="preserve">Entire agreement. </w:t>
      </w:r>
      <w:r>
        <w:t>This Agreement, including Exhibit A, is the entire agreement between the Parties about the SwyftBite marketplace and supersedes prior discussions about it.</w:t>
      </w:r>
    </w:p>
    <w:p>
      <w:pPr>
        <w:pStyle w:val="ListBullet"/>
      </w:pPr>
      <w:r>
        <w:rPr>
          <w:b/>
        </w:rPr>
        <w:t xml:space="preserve">Amendments. </w:t>
      </w:r>
      <w:r>
        <w:t>An amendment is effective only if in writing and signed (including by electronic signature) by both Parties. SwyftBite will not change Section 2 pricing by posting new terms alone.</w:t>
      </w:r>
    </w:p>
    <w:p>
      <w:pPr>
        <w:pStyle w:val="ListBullet"/>
      </w:pPr>
      <w:r>
        <w:rPr>
          <w:b/>
        </w:rPr>
        <w:t xml:space="preserve">Notices. </w:t>
      </w:r>
      <w:r>
        <w:t>Notices must be in writing to the addresses in Exhibit A. Notices to SwyftBite go to: SwyftBite, Attn: Celia Bartram, celia@swyftbite.com, phone 972-464-6300 (for coordination; written notice by mail or email confirmation required). Either Party may update its notice information in writing.</w:t>
      </w:r>
    </w:p>
    <w:p>
      <w:pPr>
        <w:pStyle w:val="ListBullet"/>
      </w:pPr>
      <w:r>
        <w:rPr>
          <w:b/>
        </w:rPr>
        <w:t xml:space="preserve">Assignment. </w:t>
      </w:r>
      <w:r>
        <w:t>Merchant may not assign this Agreement without SwyftBite’s written consent, except to a buyer of substantially all of Merchant’s business who assumes this Agreement in writing. SwyftBite may assign to a successor in connection with a sale of its business.</w:t>
      </w:r>
    </w:p>
    <w:p>
      <w:pPr>
        <w:pStyle w:val="ListBullet"/>
      </w:pPr>
      <w:r>
        <w:rPr>
          <w:b/>
        </w:rPr>
        <w:t xml:space="preserve">Independent contractors. </w:t>
      </w:r>
      <w:r>
        <w:t>The Parties are independent contractors. Nothing here creates a partnership, joint venture, franchise, or employment relationship.</w:t>
      </w:r>
    </w:p>
    <w:p>
      <w:pPr>
        <w:pStyle w:val="ListBullet"/>
      </w:pPr>
      <w:r>
        <w:rPr>
          <w:b/>
        </w:rPr>
        <w:t xml:space="preserve">Severability; waiver. </w:t>
      </w:r>
      <w:r>
        <w:t>If a provision is held unenforceable, the rest continues in effect. A waiver of one breach is not a waiver of another.</w:t>
      </w:r>
    </w:p>
    <w:p>
      <w:pPr>
        <w:pStyle w:val="ListBullet"/>
      </w:pPr>
      <w:r>
        <w:rPr>
          <w:b/>
        </w:rPr>
        <w:t xml:space="preserve">Counterparts; e-signature. </w:t>
      </w:r>
      <w:r>
        <w:t>This Agreement may be signed in counterparts, and electronic or PDF signatures count as originals.</w:t>
      </w:r>
    </w:p>
    <w:p>
      <w:pPr>
        <w:pStyle w:val="ListBullet"/>
      </w:pPr>
      <w:r>
        <w:rPr>
          <w:b/>
        </w:rPr>
        <w:t xml:space="preserve">Order of precedence. </w:t>
      </w:r>
      <w:r>
        <w:t>If Exhibit A’s commercial terms conflict with the body of this Agreement, the body controls unless Exhibit A expressly states it overrides a named Section.</w:t>
      </w:r>
    </w:p>
    <w:p>
      <w:r>
        <w:br w:type="page"/>
      </w:r>
    </w:p>
    <w:p>
      <w:pPr>
        <w:jc w:val="center"/>
      </w:pPr>
      <w:r>
        <w:rPr>
          <w:b/>
          <w:caps/>
          <w:color w:val="E86B1E"/>
          <w:sz w:val="22"/>
        </w:rPr>
        <w:t>EXHIBIT A</w:t>
      </w:r>
    </w:p>
    <w:p>
      <w:pPr>
        <w:jc w:val="center"/>
      </w:pPr>
      <w:r>
        <w:rPr>
          <w:b/>
          <w:color w:val="0F2A44"/>
          <w:sz w:val="28"/>
        </w:rPr>
        <w:t>Merchant Information, Commercial Terms &amp; Signatures</w:t>
      </w:r>
    </w:p>
    <w:p>
      <w:r>
        <w:t>Complete this Exhibit for each location. Attach additional Exhibit A pages for additional locations under the same ownership.</w:t>
      </w:r>
    </w:p>
    <w:tbl>
      <w:tblPr>
        <w:tblStyle w:val="TableGrid"/>
        <w:tblW w:type="auto" w:w="0"/>
        <w:jc w:val="center"/>
        <w:tblLook w:firstColumn="1" w:firstRow="1" w:lastColumn="0" w:lastRow="0" w:noHBand="0" w:noVBand="1" w:val="04A0"/>
      </w:tblPr>
      <w:tblGrid>
        <w:gridCol w:w="4896"/>
        <w:gridCol w:w="4896"/>
      </w:tblGrid>
      <w:tr>
        <w:tc>
          <w:tcPr>
            <w:tcW w:type="dxa" w:w="3744"/>
            <w:shd w:fill="FFF3E8"/>
          </w:tcPr>
          <w:p>
            <w:r>
              <w:rPr>
                <w:b/>
                <w:color w:val="0F2A44"/>
                <w:sz w:val="19"/>
              </w:rPr>
              <w:t>Field</w:t>
            </w:r>
          </w:p>
        </w:tc>
        <w:tc>
          <w:tcPr>
            <w:tcW w:type="dxa" w:w="6048"/>
            <w:shd w:fill="FFF3E8"/>
          </w:tcPr>
          <w:p>
            <w:r>
              <w:rPr>
                <w:b/>
                <w:color w:val="0F2A44"/>
                <w:sz w:val="19"/>
              </w:rPr>
              <w:t>Merchant to complete</w:t>
            </w:r>
          </w:p>
        </w:tc>
      </w:tr>
      <w:tr>
        <w:tc>
          <w:tcPr>
            <w:tcW w:type="dxa" w:w="3744"/>
          </w:tcPr>
          <w:p>
            <w:r>
              <w:rPr>
                <w:sz w:val="19"/>
              </w:rPr>
              <w:t>Merchant legal name</w:t>
            </w:r>
          </w:p>
        </w:tc>
        <w:tc>
          <w:tcPr>
            <w:tcW w:type="dxa" w:w="6048"/>
          </w:tcPr>
          <w:p>
            <w:r>
              <w:rPr>
                <w:sz w:val="19"/>
              </w:rPr>
              <w:t>______________________________________________</w:t>
            </w:r>
          </w:p>
        </w:tc>
      </w:tr>
      <w:tr>
        <w:tc>
          <w:tcPr>
            <w:tcW w:type="dxa" w:w="3744"/>
          </w:tcPr>
          <w:p>
            <w:r>
              <w:rPr>
                <w:sz w:val="19"/>
              </w:rPr>
              <w:t>DBA / restaurant name (as shown to customers)</w:t>
            </w:r>
          </w:p>
        </w:tc>
        <w:tc>
          <w:tcPr>
            <w:tcW w:type="dxa" w:w="6048"/>
          </w:tcPr>
          <w:p>
            <w:r>
              <w:rPr>
                <w:sz w:val="19"/>
              </w:rPr>
              <w:t>______________________________________________</w:t>
            </w:r>
          </w:p>
        </w:tc>
      </w:tr>
      <w:tr>
        <w:tc>
          <w:tcPr>
            <w:tcW w:type="dxa" w:w="3744"/>
          </w:tcPr>
          <w:p>
            <w:r>
              <w:rPr>
                <w:sz w:val="19"/>
              </w:rPr>
              <w:t>Location address</w:t>
            </w:r>
          </w:p>
        </w:tc>
        <w:tc>
          <w:tcPr>
            <w:tcW w:type="dxa" w:w="6048"/>
          </w:tcPr>
          <w:p>
            <w:r>
              <w:rPr>
                <w:sz w:val="19"/>
              </w:rPr>
              <w:t>______________________________________________</w:t>
            </w:r>
          </w:p>
        </w:tc>
      </w:tr>
      <w:tr>
        <w:tc>
          <w:tcPr>
            <w:tcW w:type="dxa" w:w="3744"/>
          </w:tcPr>
          <w:p>
            <w:r>
              <w:rPr>
                <w:sz w:val="19"/>
              </w:rPr>
              <w:t>City / ZIP (Collin County)</w:t>
            </w:r>
          </w:p>
        </w:tc>
        <w:tc>
          <w:tcPr>
            <w:tcW w:type="dxa" w:w="6048"/>
          </w:tcPr>
          <w:p>
            <w:r>
              <w:rPr>
                <w:sz w:val="19"/>
              </w:rPr>
              <w:t>______________________________________________</w:t>
            </w:r>
          </w:p>
        </w:tc>
      </w:tr>
      <w:tr>
        <w:tc>
          <w:tcPr>
            <w:tcW w:type="dxa" w:w="3744"/>
          </w:tcPr>
          <w:p>
            <w:r>
              <w:rPr>
                <w:sz w:val="19"/>
              </w:rPr>
              <w:t>Location phone</w:t>
            </w:r>
          </w:p>
        </w:tc>
        <w:tc>
          <w:tcPr>
            <w:tcW w:type="dxa" w:w="6048"/>
          </w:tcPr>
          <w:p>
            <w:r>
              <w:rPr>
                <w:sz w:val="19"/>
              </w:rPr>
              <w:t>______________________________________________</w:t>
            </w:r>
          </w:p>
        </w:tc>
      </w:tr>
      <w:tr>
        <w:tc>
          <w:tcPr>
            <w:tcW w:type="dxa" w:w="3744"/>
          </w:tcPr>
          <w:p>
            <w:r>
              <w:rPr>
                <w:sz w:val="19"/>
              </w:rPr>
              <w:t>Owner / authorized signer (print name &amp; title)</w:t>
            </w:r>
          </w:p>
        </w:tc>
        <w:tc>
          <w:tcPr>
            <w:tcW w:type="dxa" w:w="6048"/>
          </w:tcPr>
          <w:p>
            <w:r>
              <w:rPr>
                <w:sz w:val="19"/>
              </w:rPr>
              <w:t>______________________________________________</w:t>
            </w:r>
          </w:p>
        </w:tc>
      </w:tr>
      <w:tr>
        <w:tc>
          <w:tcPr>
            <w:tcW w:type="dxa" w:w="3744"/>
          </w:tcPr>
          <w:p>
            <w:r>
              <w:rPr>
                <w:sz w:val="19"/>
              </w:rPr>
              <w:t>Owner email (billing &amp; notices)</w:t>
            </w:r>
          </w:p>
        </w:tc>
        <w:tc>
          <w:tcPr>
            <w:tcW w:type="dxa" w:w="6048"/>
          </w:tcPr>
          <w:p>
            <w:r>
              <w:rPr>
                <w:sz w:val="19"/>
              </w:rPr>
              <w:t>______________________________________________</w:t>
            </w:r>
          </w:p>
        </w:tc>
      </w:tr>
      <w:tr>
        <w:tc>
          <w:tcPr>
            <w:tcW w:type="dxa" w:w="3744"/>
          </w:tcPr>
          <w:p>
            <w:r>
              <w:rPr>
                <w:sz w:val="19"/>
              </w:rPr>
              <w:t>On-site order contact &amp; phone</w:t>
            </w:r>
          </w:p>
        </w:tc>
        <w:tc>
          <w:tcPr>
            <w:tcW w:type="dxa" w:w="6048"/>
          </w:tcPr>
          <w:p>
            <w:r>
              <w:rPr>
                <w:sz w:val="19"/>
              </w:rPr>
              <w:t>______________________________________________</w:t>
            </w:r>
          </w:p>
        </w:tc>
      </w:tr>
      <w:tr>
        <w:tc>
          <w:tcPr>
            <w:tcW w:type="dxa" w:w="3744"/>
          </w:tcPr>
          <w:p>
            <w:r>
              <w:rPr>
                <w:sz w:val="19"/>
              </w:rPr>
              <w:t>Bank / ACH (provided separately via secure form)</w:t>
            </w:r>
          </w:p>
        </w:tc>
        <w:tc>
          <w:tcPr>
            <w:tcW w:type="dxa" w:w="6048"/>
          </w:tcPr>
          <w:p>
            <w:r>
              <w:rPr>
                <w:sz w:val="19"/>
              </w:rPr>
              <w:t>☐  Provided   ☐  To follow before first settlement</w:t>
            </w:r>
          </w:p>
        </w:tc>
      </w:tr>
      <w:tr>
        <w:tc>
          <w:tcPr>
            <w:tcW w:type="dxa" w:w="3744"/>
          </w:tcPr>
          <w:p>
            <w:r>
              <w:rPr>
                <w:sz w:val="19"/>
              </w:rPr>
              <w:t>Ordering hours &amp; prep-time default</w:t>
            </w:r>
          </w:p>
        </w:tc>
        <w:tc>
          <w:tcPr>
            <w:tcW w:type="dxa" w:w="6048"/>
          </w:tcPr>
          <w:p>
            <w:r>
              <w:rPr>
                <w:sz w:val="19"/>
              </w:rPr>
              <w:t>______________________________________________</w:t>
            </w:r>
          </w:p>
        </w:tc>
      </w:tr>
      <w:tr>
        <w:tc>
          <w:tcPr>
            <w:tcW w:type="dxa" w:w="3744"/>
          </w:tcPr>
          <w:p>
            <w:r>
              <w:rPr>
                <w:sz w:val="19"/>
              </w:rPr>
              <w:t>Order receipt method</w:t>
            </w:r>
          </w:p>
        </w:tc>
        <w:tc>
          <w:tcPr>
            <w:tcW w:type="dxa" w:w="6048"/>
          </w:tcPr>
          <w:p>
            <w:r>
              <w:rPr>
                <w:sz w:val="19"/>
              </w:rPr>
              <w:t>☐ Dashboard  ☐ Phone  ☐ Other: ________________</w:t>
            </w:r>
          </w:p>
        </w:tc>
      </w:tr>
      <w:tr>
        <w:tc>
          <w:tcPr>
            <w:tcW w:type="dxa" w:w="3744"/>
          </w:tcPr>
          <w:p>
            <w:r>
              <w:rPr>
                <w:sz w:val="19"/>
              </w:rPr>
              <w:t>Effective Date</w:t>
            </w:r>
          </w:p>
        </w:tc>
        <w:tc>
          <w:tcPr>
            <w:tcW w:type="dxa" w:w="6048"/>
          </w:tcPr>
          <w:p>
            <w:r>
              <w:rPr>
                <w:sz w:val="19"/>
              </w:rPr>
              <w:t>______________________________________________</w:t>
            </w:r>
          </w:p>
        </w:tc>
      </w:tr>
    </w:tbl>
    <w:p>
      <w:pPr>
        <w:spacing w:after="40"/>
      </w:pPr>
    </w:p>
    <w:p>
      <w:r>
        <w:t>By signing below, each Party agrees to the terms of this Agreement, including the 15% commission cap in Section 2 and the $2.49 consumer service fee. Merchant’s signer represents that they are authorized to bind Merchant.</w:t>
      </w:r>
    </w:p>
    <w:tbl>
      <w:tblPr>
        <w:tblStyle w:val="TableGrid"/>
        <w:tblW w:type="auto" w:w="0"/>
        <w:jc w:val="center"/>
        <w:tblLook w:firstColumn="1" w:firstRow="1" w:lastColumn="0" w:lastRow="0" w:noHBand="0" w:noVBand="1" w:val="04A0"/>
      </w:tblPr>
      <w:tblGrid>
        <w:gridCol w:w="3264"/>
        <w:gridCol w:w="3264"/>
        <w:gridCol w:w="3264"/>
      </w:tblGrid>
      <w:tr>
        <w:tc>
          <w:tcPr>
            <w:tcW w:type="dxa" w:w="1728"/>
            <w:shd w:fill="FFF3E8"/>
          </w:tcPr>
          <w:p>
            <w:r>
              <w:rPr>
                <w:b/>
                <w:color w:val="0F2A44"/>
                <w:sz w:val="19"/>
              </w:rPr>
            </w:r>
          </w:p>
        </w:tc>
        <w:tc>
          <w:tcPr>
            <w:tcW w:type="dxa" w:w="4032"/>
            <w:shd w:fill="FFF3E8"/>
          </w:tcPr>
          <w:p>
            <w:r>
              <w:rPr>
                <w:b/>
                <w:color w:val="0F2A44"/>
                <w:sz w:val="19"/>
              </w:rPr>
              <w:t>SwyftBite</w:t>
            </w:r>
          </w:p>
        </w:tc>
        <w:tc>
          <w:tcPr>
            <w:tcW w:type="dxa" w:w="4032"/>
            <w:shd w:fill="FFF3E8"/>
          </w:tcPr>
          <w:p>
            <w:r>
              <w:rPr>
                <w:b/>
                <w:color w:val="0F2A44"/>
                <w:sz w:val="19"/>
              </w:rPr>
              <w:t>Merchant</w:t>
            </w:r>
          </w:p>
        </w:tc>
      </w:tr>
      <w:tr>
        <w:tc>
          <w:tcPr>
            <w:tcW w:type="dxa" w:w="1728"/>
          </w:tcPr>
          <w:p>
            <w:r>
              <w:rPr>
                <w:sz w:val="19"/>
              </w:rPr>
              <w:t>Signature</w:t>
            </w:r>
          </w:p>
        </w:tc>
        <w:tc>
          <w:tcPr>
            <w:tcW w:type="dxa" w:w="4032"/>
          </w:tcPr>
          <w:p>
            <w:r>
              <w:rPr>
                <w:sz w:val="19"/>
              </w:rPr>
              <w:t>___________________________________</w:t>
            </w:r>
          </w:p>
        </w:tc>
        <w:tc>
          <w:tcPr>
            <w:tcW w:type="dxa" w:w="4032"/>
          </w:tcPr>
          <w:p>
            <w:r>
              <w:rPr>
                <w:sz w:val="19"/>
              </w:rPr>
              <w:t>___________________________________</w:t>
            </w:r>
          </w:p>
        </w:tc>
      </w:tr>
      <w:tr>
        <w:tc>
          <w:tcPr>
            <w:tcW w:type="dxa" w:w="1728"/>
          </w:tcPr>
          <w:p>
            <w:r>
              <w:rPr>
                <w:sz w:val="19"/>
              </w:rPr>
              <w:t>Print name</w:t>
            </w:r>
          </w:p>
        </w:tc>
        <w:tc>
          <w:tcPr>
            <w:tcW w:type="dxa" w:w="4032"/>
          </w:tcPr>
          <w:p>
            <w:r>
              <w:rPr>
                <w:sz w:val="19"/>
              </w:rPr>
              <w:t>Celia Bartram</w:t>
            </w:r>
          </w:p>
        </w:tc>
        <w:tc>
          <w:tcPr>
            <w:tcW w:type="dxa" w:w="4032"/>
          </w:tcPr>
          <w:p>
            <w:r>
              <w:rPr>
                <w:sz w:val="19"/>
              </w:rPr>
              <w:t>___________________________________</w:t>
            </w:r>
          </w:p>
        </w:tc>
      </w:tr>
      <w:tr>
        <w:tc>
          <w:tcPr>
            <w:tcW w:type="dxa" w:w="1728"/>
          </w:tcPr>
          <w:p>
            <w:r>
              <w:rPr>
                <w:sz w:val="19"/>
              </w:rPr>
              <w:t>Title</w:t>
            </w:r>
          </w:p>
        </w:tc>
        <w:tc>
          <w:tcPr>
            <w:tcW w:type="dxa" w:w="4032"/>
          </w:tcPr>
          <w:p>
            <w:r>
              <w:rPr>
                <w:sz w:val="19"/>
              </w:rPr>
              <w:t>Founder / Owner</w:t>
            </w:r>
          </w:p>
        </w:tc>
        <w:tc>
          <w:tcPr>
            <w:tcW w:type="dxa" w:w="4032"/>
          </w:tcPr>
          <w:p>
            <w:r>
              <w:rPr>
                <w:sz w:val="19"/>
              </w:rPr>
              <w:t>___________________________________</w:t>
            </w:r>
          </w:p>
        </w:tc>
      </w:tr>
      <w:tr>
        <w:tc>
          <w:tcPr>
            <w:tcW w:type="dxa" w:w="1728"/>
          </w:tcPr>
          <w:p>
            <w:r>
              <w:rPr>
                <w:sz w:val="19"/>
              </w:rPr>
              <w:t>Phone</w:t>
            </w:r>
          </w:p>
        </w:tc>
        <w:tc>
          <w:tcPr>
            <w:tcW w:type="dxa" w:w="4032"/>
          </w:tcPr>
          <w:p>
            <w:r>
              <w:rPr>
                <w:sz w:val="19"/>
              </w:rPr>
              <w:t>972-464-6300</w:t>
            </w:r>
          </w:p>
        </w:tc>
        <w:tc>
          <w:tcPr>
            <w:tcW w:type="dxa" w:w="4032"/>
          </w:tcPr>
          <w:p>
            <w:r>
              <w:rPr>
                <w:sz w:val="19"/>
              </w:rPr>
              <w:t>___________________________________</w:t>
            </w:r>
          </w:p>
        </w:tc>
      </w:tr>
      <w:tr>
        <w:tc>
          <w:tcPr>
            <w:tcW w:type="dxa" w:w="1728"/>
          </w:tcPr>
          <w:p>
            <w:r>
              <w:rPr>
                <w:sz w:val="19"/>
              </w:rPr>
              <w:t>Email</w:t>
            </w:r>
          </w:p>
        </w:tc>
        <w:tc>
          <w:tcPr>
            <w:tcW w:type="dxa" w:w="4032"/>
          </w:tcPr>
          <w:p>
            <w:r>
              <w:rPr>
                <w:sz w:val="19"/>
              </w:rPr>
              <w:t>celia@swyftbite.com</w:t>
            </w:r>
          </w:p>
        </w:tc>
        <w:tc>
          <w:tcPr>
            <w:tcW w:type="dxa" w:w="4032"/>
          </w:tcPr>
          <w:p>
            <w:r>
              <w:rPr>
                <w:sz w:val="19"/>
              </w:rPr>
              <w:t>___________________________________</w:t>
            </w:r>
          </w:p>
        </w:tc>
      </w:tr>
      <w:tr>
        <w:tc>
          <w:tcPr>
            <w:tcW w:type="dxa" w:w="1728"/>
          </w:tcPr>
          <w:p>
            <w:r>
              <w:rPr>
                <w:sz w:val="19"/>
              </w:rPr>
              <w:t>Date</w:t>
            </w:r>
          </w:p>
        </w:tc>
        <w:tc>
          <w:tcPr>
            <w:tcW w:type="dxa" w:w="4032"/>
          </w:tcPr>
          <w:p>
            <w:r>
              <w:rPr>
                <w:sz w:val="19"/>
              </w:rPr>
              <w:t>___________________________________</w:t>
            </w:r>
          </w:p>
        </w:tc>
        <w:tc>
          <w:tcPr>
            <w:tcW w:type="dxa" w:w="4032"/>
          </w:tcPr>
          <w:p>
            <w:r>
              <w:rPr>
                <w:sz w:val="19"/>
              </w:rPr>
              <w:t>___________________________________</w:t>
            </w:r>
          </w:p>
        </w:tc>
      </w:tr>
    </w:tbl>
    <w:p>
      <w:pPr>
        <w:spacing w:after="40"/>
      </w:pPr>
    </w:p>
    <w:p>
      <w:pPr>
        <w:pStyle w:val="Heading2"/>
      </w:pPr>
      <w:r>
        <w:t>Onboarding checklist (SwyftBite use — not part of the legal terms)</w:t>
      </w:r>
    </w:p>
    <w:p>
      <w:pPr>
        <w:pStyle w:val="ListBullet"/>
      </w:pPr>
      <w:r>
        <w:t>Signed Exhibit A and W-9 collected.</w:t>
      </w:r>
    </w:p>
    <w:p>
      <w:pPr>
        <w:pStyle w:val="ListBullet"/>
      </w:pPr>
      <w:r>
        <w:t>ACH information received via secure form and verified.</w:t>
      </w:r>
    </w:p>
    <w:p>
      <w:pPr>
        <w:pStyle w:val="ListBullet"/>
      </w:pPr>
      <w:r>
        <w:t>Menu, photos, hours, and allergen notes entered and approved by Merchant.</w:t>
      </w:r>
    </w:p>
    <w:p>
      <w:pPr>
        <w:pStyle w:val="ListBullet"/>
      </w:pPr>
      <w:r>
        <w:t>Order receipt method tested with a live test order.</w:t>
      </w:r>
    </w:p>
    <w:p>
      <w:pPr>
        <w:pStyle w:val="ListBullet"/>
      </w:pPr>
      <w:r>
        <w:t>Staff briefed on order-ID handoff and the customer PIN delivery process.</w:t>
      </w:r>
    </w:p>
    <w:p>
      <w:pPr>
        <w:pStyle w:val="ListBullet"/>
      </w:pPr>
      <w:r>
        <w:t>Window decal / “Now on SwyftBite” badge delivered and launch date set.</w:t>
      </w:r>
    </w:p>
    <w:p>
      <w:pPr>
        <w:spacing w:before="200"/>
        <w:jc w:val="center"/>
      </w:pPr>
      <w:r>
        <w:rPr>
          <w:color w:val="4A4A4A"/>
          <w:sz w:val="17"/>
        </w:rPr>
        <w:t>SwyftBite  •  McKinney – Fairview – Allen – Frisco  •  Celia Bartram  •  celia@swyftbite.com  •  972-464-6300</w:t>
      </w:r>
    </w:p>
    <w:p>
      <w:pPr>
        <w:jc w:val="center"/>
      </w:pPr>
      <w:r>
        <w:rPr>
          <w:i/>
          <w:color w:val="4A4A4A"/>
          <w:sz w:val="16"/>
        </w:rPr>
        <w:t>Template for discussion purposes. SwyftBite recommends review by a Texas business attorney before first use.</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4A4A"/>
        <w:sz w:val="16"/>
      </w:rPr>
      <w:fldChar w:fldCharType="begin"/>
    </w:r>
    <w:r>
      <w:rPr>
        <w:color w:val="4A4A4A"/>
        <w:sz w:val="16"/>
      </w:rPr>
      <w:instrText xml:space="preserve"> PAGE </w:instrText>
    </w:r>
    <w:r>
      <w:rPr>
        <w:color w:val="4A4A4A"/>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0F2A4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2A4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2A4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Merchant Partner Agreement</dc:title>
  <dc:subject>Merchant Partner Agreement — SwyftBite food delivery platform</dc:subject>
  <dc:creator>SwyftBite</dc:creator>
  <cp:keywords>SwyftBite, merchant agreement, food delivery, Collin County</cp:keywords>
  <dc:description>generated by python-docx</dc:description>
  <cp:lastModifiedBy/>
  <cp:revision>1</cp:revision>
  <dcterms:created xsi:type="dcterms:W3CDTF">2013-12-23T23:15:00Z</dcterms:created>
  <dcterms:modified xsi:type="dcterms:W3CDTF">2013-12-23T23:15:00Z</dcterms:modified>
  <cp:category/>
</cp:coreProperties>
</file>